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18219"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58240" behindDoc="0" locked="0" layoutInCell="1" allowOverlap="1" wp14:anchorId="50457C1A" wp14:editId="14B6E36A">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795AF9B0"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44E8B76C" w14:textId="77777777" w:rsidR="0097493D" w:rsidRDefault="0097493D" w:rsidP="00171B8C">
      <w:pPr>
        <w:pStyle w:val="Question"/>
      </w:pPr>
    </w:p>
    <w:p w14:paraId="2ED188DF" w14:textId="77777777" w:rsidR="0097493D" w:rsidRDefault="0097493D" w:rsidP="00171B8C">
      <w:pPr>
        <w:pStyle w:val="Question"/>
      </w:pPr>
    </w:p>
    <w:p w14:paraId="377C964C" w14:textId="77777777" w:rsidR="0097493D" w:rsidRDefault="0097493D" w:rsidP="00171B8C">
      <w:pPr>
        <w:pStyle w:val="Question"/>
      </w:pPr>
    </w:p>
    <w:p w14:paraId="419EBFCB" w14:textId="77777777" w:rsidR="0097493D" w:rsidRDefault="0097493D" w:rsidP="00171B8C">
      <w:pPr>
        <w:pStyle w:val="Question"/>
      </w:pPr>
    </w:p>
    <w:p w14:paraId="0230B4F4" w14:textId="77777777" w:rsidR="0097493D" w:rsidRDefault="0097493D" w:rsidP="00171B8C">
      <w:pPr>
        <w:pStyle w:val="Question"/>
      </w:pPr>
    </w:p>
    <w:p w14:paraId="219A9ED4" w14:textId="77777777" w:rsidR="0097493D" w:rsidRDefault="0097493D" w:rsidP="00171B8C">
      <w:pPr>
        <w:pStyle w:val="Question"/>
      </w:pPr>
    </w:p>
    <w:p w14:paraId="43CBE89C" w14:textId="77777777" w:rsidR="0097493D" w:rsidRDefault="0097493D" w:rsidP="00171B8C">
      <w:pPr>
        <w:pStyle w:val="Question"/>
      </w:pPr>
    </w:p>
    <w:p w14:paraId="00A77EFE" w14:textId="77777777" w:rsidR="0097493D" w:rsidRDefault="0097493D" w:rsidP="00171B8C">
      <w:pPr>
        <w:pStyle w:val="Question"/>
      </w:pPr>
    </w:p>
    <w:p w14:paraId="34BF9357" w14:textId="77777777" w:rsidR="0097493D" w:rsidRDefault="0097493D" w:rsidP="00171B8C">
      <w:pPr>
        <w:pStyle w:val="Question"/>
      </w:pPr>
    </w:p>
    <w:p w14:paraId="34844BDF" w14:textId="77777777" w:rsidR="0097493D" w:rsidRDefault="0097493D" w:rsidP="00171B8C">
      <w:pPr>
        <w:pStyle w:val="Question"/>
      </w:pPr>
    </w:p>
    <w:p w14:paraId="525F7221" w14:textId="77777777" w:rsidR="00140A14" w:rsidRDefault="00140A14" w:rsidP="00171B8C">
      <w:pPr>
        <w:pStyle w:val="Question"/>
      </w:pPr>
    </w:p>
    <w:p w14:paraId="32AA4274" w14:textId="77777777" w:rsidR="00021EC4" w:rsidRDefault="00021EC4" w:rsidP="0015794B">
      <w:pPr>
        <w:pStyle w:val="Title"/>
        <w:jc w:val="center"/>
        <w:rPr>
          <w:rStyle w:val="TitleChar"/>
        </w:rPr>
      </w:pPr>
    </w:p>
    <w:p w14:paraId="48C431DC" w14:textId="77777777" w:rsidR="00021EC4" w:rsidRDefault="00021EC4" w:rsidP="0015794B">
      <w:pPr>
        <w:pStyle w:val="Title"/>
        <w:jc w:val="center"/>
        <w:rPr>
          <w:rStyle w:val="TitleChar"/>
        </w:rPr>
      </w:pPr>
    </w:p>
    <w:p w14:paraId="29B996F8" w14:textId="77777777" w:rsidR="00021EC4" w:rsidRDefault="00021EC4" w:rsidP="0015794B">
      <w:pPr>
        <w:pStyle w:val="Title"/>
        <w:jc w:val="center"/>
        <w:rPr>
          <w:rStyle w:val="TitleChar"/>
        </w:rPr>
      </w:pPr>
    </w:p>
    <w:p w14:paraId="4FE17DF6" w14:textId="77777777" w:rsidR="00021EC4" w:rsidRDefault="00021EC4" w:rsidP="0015794B">
      <w:pPr>
        <w:pStyle w:val="Title"/>
        <w:jc w:val="center"/>
        <w:rPr>
          <w:rStyle w:val="TitleChar"/>
        </w:rPr>
      </w:pPr>
    </w:p>
    <w:p w14:paraId="18AA265A" w14:textId="77777777" w:rsidR="00021EC4" w:rsidRDefault="00021EC4" w:rsidP="0015794B">
      <w:pPr>
        <w:pStyle w:val="Title"/>
        <w:jc w:val="center"/>
        <w:rPr>
          <w:rStyle w:val="TitleChar"/>
        </w:rPr>
      </w:pPr>
    </w:p>
    <w:sdt>
      <w:sdtPr>
        <w:rPr>
          <w:rStyle w:val="TitleChar"/>
        </w:rPr>
        <w:id w:val="-278179402"/>
        <w:placeholder>
          <w:docPart w:val="C8070366753C40E9B4FA2260F94C1019"/>
        </w:placeholder>
      </w:sdtPr>
      <w:sdtEndPr>
        <w:rPr>
          <w:rStyle w:val="DefaultParagraphFont"/>
        </w:rPr>
      </w:sdtEndPr>
      <w:sdtContent>
        <w:p w14:paraId="528E1852" w14:textId="4C4F9D96" w:rsidR="00FB0D52" w:rsidRDefault="0024775F" w:rsidP="0015794B">
          <w:pPr>
            <w:pStyle w:val="Title"/>
            <w:jc w:val="center"/>
          </w:pPr>
          <w:r>
            <w:rPr>
              <w:rStyle w:val="TitleChar"/>
            </w:rPr>
            <w:t xml:space="preserve">Submission in response to the inquiry on foundational </w:t>
          </w:r>
          <w:r w:rsidR="00FA070E">
            <w:rPr>
              <w:rStyle w:val="TitleChar"/>
            </w:rPr>
            <w:t xml:space="preserve">and disability </w:t>
          </w:r>
          <w:r>
            <w:rPr>
              <w:rStyle w:val="TitleChar"/>
            </w:rPr>
            <w:t xml:space="preserve">supports </w:t>
          </w:r>
          <w:r w:rsidR="00B33DDD">
            <w:rPr>
              <w:rStyle w:val="TitleChar"/>
            </w:rPr>
            <w:t xml:space="preserve">available </w:t>
          </w:r>
          <w:r>
            <w:rPr>
              <w:rStyle w:val="TitleChar"/>
            </w:rPr>
            <w:t xml:space="preserve">for children and young people </w:t>
          </w:r>
          <w:r w:rsidR="00E47AC6">
            <w:rPr>
              <w:rStyle w:val="TitleChar"/>
            </w:rPr>
            <w:t>in NSW</w:t>
          </w:r>
        </w:p>
      </w:sdtContent>
    </w:sdt>
    <w:p w14:paraId="3047E286" w14:textId="77777777" w:rsidR="00021EC4" w:rsidRDefault="00021EC4" w:rsidP="00140A14">
      <w:pPr>
        <w:pStyle w:val="Question"/>
        <w:jc w:val="center"/>
        <w:rPr>
          <w:rStyle w:val="TitleChar"/>
        </w:rPr>
      </w:pPr>
      <w:bookmarkStart w:id="1" w:name="_Toc43462569"/>
    </w:p>
    <w:bookmarkEnd w:id="1"/>
    <w:p w14:paraId="6ED2E939" w14:textId="77777777" w:rsidR="00140A14" w:rsidRDefault="00140A14" w:rsidP="00140A14">
      <w:pPr>
        <w:pStyle w:val="Question"/>
        <w:jc w:val="center"/>
      </w:pPr>
    </w:p>
    <w:p w14:paraId="2C4A2067" w14:textId="77777777" w:rsidR="00140A14" w:rsidRDefault="00140A14" w:rsidP="00140A14">
      <w:pPr>
        <w:pStyle w:val="Question"/>
        <w:jc w:val="center"/>
      </w:pPr>
    </w:p>
    <w:p w14:paraId="32C9CA17" w14:textId="77777777" w:rsidR="00021EC4" w:rsidRDefault="00021EC4" w:rsidP="00140A14">
      <w:pPr>
        <w:pStyle w:val="Question"/>
        <w:jc w:val="center"/>
      </w:pPr>
    </w:p>
    <w:bookmarkStart w:id="2" w:name="_Toc43462570" w:displacedByCustomXml="next"/>
    <w:sdt>
      <w:sdtPr>
        <w:rPr>
          <w:rStyle w:val="TitleChar"/>
        </w:rPr>
        <w:id w:val="257019831"/>
        <w:placeholder>
          <w:docPart w:val="9D75FEF5C6B6444CAC5E246C9BE46E8C"/>
        </w:placeholder>
      </w:sdtPr>
      <w:sdtEndPr>
        <w:rPr>
          <w:rStyle w:val="DefaultParagraphFont"/>
          <w:rFonts w:ascii="Myriad Pro Light" w:eastAsiaTheme="minorEastAsia" w:hAnsi="Myriad Pro Light" w:cstheme="minorBidi"/>
          <w:b w:val="0"/>
          <w:color w:val="2C4390"/>
          <w:spacing w:val="0"/>
          <w:kern w:val="0"/>
          <w:sz w:val="22"/>
          <w:szCs w:val="22"/>
        </w:rPr>
      </w:sdtEndPr>
      <w:sdtContent>
        <w:p w14:paraId="025A9074" w14:textId="3AC55DC7" w:rsidR="00140A14" w:rsidRDefault="005038FD"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April 2025</w:t>
          </w:r>
        </w:p>
      </w:sdtContent>
    </w:sdt>
    <w:bookmarkEnd w:id="2" w:displacedByCustomXml="prev"/>
    <w:p w14:paraId="6764592D"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0FBE058B"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07E76916"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53B71E53"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3132BDF" w14:textId="77777777" w:rsidR="00140A14" w:rsidRPr="00B94954" w:rsidRDefault="00140A14" w:rsidP="00140A14">
      <w:pPr>
        <w:spacing w:after="0" w:line="276" w:lineRule="auto"/>
        <w:jc w:val="center"/>
        <w:rPr>
          <w:rFonts w:ascii="Myriad Pro" w:hAnsi="Myriad Pro" w:cs="Arial"/>
          <w:color w:val="232157"/>
        </w:rPr>
      </w:pPr>
    </w:p>
    <w:p w14:paraId="0186DC10"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2DB50152"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1400606A" w14:textId="77777777" w:rsidR="00140A14" w:rsidRPr="00B94954" w:rsidRDefault="00140A14" w:rsidP="00140A14">
      <w:pPr>
        <w:spacing w:after="0" w:line="276" w:lineRule="auto"/>
        <w:jc w:val="center"/>
        <w:rPr>
          <w:rFonts w:ascii="Myriad Pro" w:hAnsi="Myriad Pro" w:cs="Arial"/>
          <w:color w:val="232157"/>
        </w:rPr>
      </w:pPr>
    </w:p>
    <w:p w14:paraId="446A4DE2" w14:textId="77777777" w:rsidR="00FB3B7E" w:rsidRDefault="00FB3B7E" w:rsidP="0097493D">
      <w:pPr>
        <w:pStyle w:val="Question"/>
        <w:jc w:val="center"/>
      </w:pPr>
    </w:p>
    <w:p w14:paraId="3D3ABF67" w14:textId="77777777" w:rsidR="009C6617" w:rsidRDefault="009C6617" w:rsidP="0097493D">
      <w:pPr>
        <w:pStyle w:val="Question"/>
        <w:jc w:val="center"/>
      </w:pPr>
      <w:r>
        <w:br w:type="page"/>
      </w:r>
    </w:p>
    <w:sdt>
      <w:sdtPr>
        <w:rPr>
          <w:rFonts w:ascii="Myriad Pro Light" w:eastAsiaTheme="minorEastAsia" w:hAnsi="Myriad Pro Light" w:cstheme="minorBidi"/>
          <w:color w:val="auto"/>
          <w:sz w:val="22"/>
          <w:szCs w:val="22"/>
          <w:lang w:val="en-AU"/>
        </w:rPr>
        <w:id w:val="-169030000"/>
        <w:docPartObj>
          <w:docPartGallery w:val="Table of Contents"/>
          <w:docPartUnique/>
        </w:docPartObj>
      </w:sdtPr>
      <w:sdtEndPr>
        <w:rPr>
          <w:rFonts w:asciiTheme="minorHAnsi" w:hAnsiTheme="minorHAnsi"/>
          <w:b/>
          <w:bCs/>
          <w:noProof/>
          <w:sz w:val="24"/>
          <w:szCs w:val="24"/>
        </w:rPr>
      </w:sdtEndPr>
      <w:sdtContent>
        <w:p w14:paraId="3649E6BD" w14:textId="283100C1" w:rsidR="008D7D79" w:rsidRPr="00050482" w:rsidRDefault="008D7D79" w:rsidP="00050482">
          <w:pPr>
            <w:pStyle w:val="TOCHeading"/>
            <w:spacing w:line="360" w:lineRule="auto"/>
            <w:rPr>
              <w:rFonts w:asciiTheme="minorHAnsi" w:hAnsiTheme="minorHAnsi" w:cstheme="minorHAnsi"/>
              <w:b/>
              <w:bCs/>
              <w:sz w:val="24"/>
              <w:szCs w:val="24"/>
            </w:rPr>
          </w:pPr>
          <w:r w:rsidRPr="00050482">
            <w:rPr>
              <w:rFonts w:asciiTheme="minorHAnsi" w:hAnsiTheme="minorHAnsi" w:cstheme="minorHAnsi"/>
              <w:b/>
              <w:bCs/>
              <w:sz w:val="24"/>
              <w:szCs w:val="24"/>
            </w:rPr>
            <w:t>Contents</w:t>
          </w:r>
        </w:p>
        <w:p w14:paraId="0F31CDC0" w14:textId="05649756" w:rsidR="006950B3" w:rsidRPr="00C664F4" w:rsidRDefault="008D7D79">
          <w:pPr>
            <w:pStyle w:val="TOC1"/>
            <w:tabs>
              <w:tab w:val="right" w:leader="dot" w:pos="9016"/>
            </w:tabs>
            <w:rPr>
              <w:rFonts w:asciiTheme="minorHAnsi" w:eastAsiaTheme="minorEastAsia" w:hAnsiTheme="minorHAnsi" w:cstheme="minorHAnsi"/>
              <w:noProof/>
              <w:kern w:val="2"/>
              <w:lang w:eastAsia="en-AU"/>
              <w14:ligatures w14:val="standardContextual"/>
            </w:rPr>
          </w:pPr>
          <w:r w:rsidRPr="00C664F4">
            <w:rPr>
              <w:rFonts w:asciiTheme="minorHAnsi" w:hAnsiTheme="minorHAnsi" w:cstheme="minorHAnsi"/>
            </w:rPr>
            <w:fldChar w:fldCharType="begin"/>
          </w:r>
          <w:r w:rsidRPr="00C664F4">
            <w:rPr>
              <w:rFonts w:asciiTheme="minorHAnsi" w:hAnsiTheme="minorHAnsi" w:cstheme="minorHAnsi"/>
            </w:rPr>
            <w:instrText xml:space="preserve"> TOC \o "1-3" \h \z \u </w:instrText>
          </w:r>
          <w:r w:rsidRPr="00C664F4">
            <w:rPr>
              <w:rFonts w:asciiTheme="minorHAnsi" w:hAnsiTheme="minorHAnsi" w:cstheme="minorHAnsi"/>
            </w:rPr>
            <w:fldChar w:fldCharType="separate"/>
          </w:r>
          <w:hyperlink w:anchor="_Toc198202085" w:history="1">
            <w:r w:rsidR="006950B3" w:rsidRPr="00C664F4">
              <w:rPr>
                <w:rStyle w:val="Hyperlink"/>
                <w:rFonts w:asciiTheme="minorHAnsi" w:hAnsiTheme="minorHAnsi" w:cstheme="minorHAnsi"/>
                <w:noProof/>
              </w:rPr>
              <w:t>Who is the Physical Disability Council of NSW?</w:t>
            </w:r>
            <w:r w:rsidR="006950B3" w:rsidRPr="00C664F4">
              <w:rPr>
                <w:rFonts w:asciiTheme="minorHAnsi" w:hAnsiTheme="minorHAnsi" w:cstheme="minorHAnsi"/>
                <w:noProof/>
                <w:webHidden/>
              </w:rPr>
              <w:tab/>
            </w:r>
            <w:r w:rsidR="006950B3" w:rsidRPr="00C664F4">
              <w:rPr>
                <w:rFonts w:asciiTheme="minorHAnsi" w:hAnsiTheme="minorHAnsi" w:cstheme="minorHAnsi"/>
                <w:noProof/>
                <w:webHidden/>
              </w:rPr>
              <w:fldChar w:fldCharType="begin"/>
            </w:r>
            <w:r w:rsidR="006950B3" w:rsidRPr="00C664F4">
              <w:rPr>
                <w:rFonts w:asciiTheme="minorHAnsi" w:hAnsiTheme="minorHAnsi" w:cstheme="minorHAnsi"/>
                <w:noProof/>
                <w:webHidden/>
              </w:rPr>
              <w:instrText xml:space="preserve"> PAGEREF _Toc198202085 \h </w:instrText>
            </w:r>
            <w:r w:rsidR="006950B3" w:rsidRPr="00C664F4">
              <w:rPr>
                <w:rFonts w:asciiTheme="minorHAnsi" w:hAnsiTheme="minorHAnsi" w:cstheme="minorHAnsi"/>
                <w:noProof/>
                <w:webHidden/>
              </w:rPr>
            </w:r>
            <w:r w:rsidR="006950B3" w:rsidRPr="00C664F4">
              <w:rPr>
                <w:rFonts w:asciiTheme="minorHAnsi" w:hAnsiTheme="minorHAnsi" w:cstheme="minorHAnsi"/>
                <w:noProof/>
                <w:webHidden/>
              </w:rPr>
              <w:fldChar w:fldCharType="separate"/>
            </w:r>
            <w:r w:rsidR="006950B3" w:rsidRPr="00C664F4">
              <w:rPr>
                <w:rFonts w:asciiTheme="minorHAnsi" w:hAnsiTheme="minorHAnsi" w:cstheme="minorHAnsi"/>
                <w:noProof/>
                <w:webHidden/>
              </w:rPr>
              <w:t>3</w:t>
            </w:r>
            <w:r w:rsidR="006950B3" w:rsidRPr="00C664F4">
              <w:rPr>
                <w:rFonts w:asciiTheme="minorHAnsi" w:hAnsiTheme="minorHAnsi" w:cstheme="minorHAnsi"/>
                <w:noProof/>
                <w:webHidden/>
              </w:rPr>
              <w:fldChar w:fldCharType="end"/>
            </w:r>
          </w:hyperlink>
        </w:p>
        <w:p w14:paraId="04AEF53A" w14:textId="678998E3" w:rsidR="006950B3" w:rsidRPr="00C664F4" w:rsidRDefault="006950B3">
          <w:pPr>
            <w:pStyle w:val="TOC1"/>
            <w:tabs>
              <w:tab w:val="right" w:leader="dot" w:pos="9016"/>
            </w:tabs>
            <w:rPr>
              <w:rFonts w:asciiTheme="minorHAnsi" w:eastAsiaTheme="minorEastAsia" w:hAnsiTheme="minorHAnsi" w:cstheme="minorHAnsi"/>
              <w:noProof/>
              <w:kern w:val="2"/>
              <w:lang w:eastAsia="en-AU"/>
              <w14:ligatures w14:val="standardContextual"/>
            </w:rPr>
          </w:pPr>
          <w:hyperlink w:anchor="_Toc198202086" w:history="1">
            <w:r w:rsidRPr="00C664F4">
              <w:rPr>
                <w:rStyle w:val="Hyperlink"/>
                <w:rFonts w:asciiTheme="minorHAnsi" w:hAnsiTheme="minorHAnsi" w:cstheme="minorHAnsi"/>
                <w:noProof/>
              </w:rPr>
              <w:t>Executive summary</w:t>
            </w:r>
            <w:r w:rsidRPr="00C664F4">
              <w:rPr>
                <w:rFonts w:asciiTheme="minorHAnsi" w:hAnsiTheme="minorHAnsi" w:cstheme="minorHAnsi"/>
                <w:noProof/>
                <w:webHidden/>
              </w:rPr>
              <w:tab/>
            </w:r>
            <w:r w:rsidRPr="00C664F4">
              <w:rPr>
                <w:rFonts w:asciiTheme="minorHAnsi" w:hAnsiTheme="minorHAnsi" w:cstheme="minorHAnsi"/>
                <w:noProof/>
                <w:webHidden/>
              </w:rPr>
              <w:fldChar w:fldCharType="begin"/>
            </w:r>
            <w:r w:rsidRPr="00C664F4">
              <w:rPr>
                <w:rFonts w:asciiTheme="minorHAnsi" w:hAnsiTheme="minorHAnsi" w:cstheme="minorHAnsi"/>
                <w:noProof/>
                <w:webHidden/>
              </w:rPr>
              <w:instrText xml:space="preserve"> PAGEREF _Toc198202086 \h </w:instrText>
            </w:r>
            <w:r w:rsidRPr="00C664F4">
              <w:rPr>
                <w:rFonts w:asciiTheme="minorHAnsi" w:hAnsiTheme="minorHAnsi" w:cstheme="minorHAnsi"/>
                <w:noProof/>
                <w:webHidden/>
              </w:rPr>
            </w:r>
            <w:r w:rsidRPr="00C664F4">
              <w:rPr>
                <w:rFonts w:asciiTheme="minorHAnsi" w:hAnsiTheme="minorHAnsi" w:cstheme="minorHAnsi"/>
                <w:noProof/>
                <w:webHidden/>
              </w:rPr>
              <w:fldChar w:fldCharType="separate"/>
            </w:r>
            <w:r w:rsidRPr="00C664F4">
              <w:rPr>
                <w:rFonts w:asciiTheme="minorHAnsi" w:hAnsiTheme="minorHAnsi" w:cstheme="minorHAnsi"/>
                <w:noProof/>
                <w:webHidden/>
              </w:rPr>
              <w:t>4</w:t>
            </w:r>
            <w:r w:rsidRPr="00C664F4">
              <w:rPr>
                <w:rFonts w:asciiTheme="minorHAnsi" w:hAnsiTheme="minorHAnsi" w:cstheme="minorHAnsi"/>
                <w:noProof/>
                <w:webHidden/>
              </w:rPr>
              <w:fldChar w:fldCharType="end"/>
            </w:r>
          </w:hyperlink>
        </w:p>
        <w:p w14:paraId="47026792" w14:textId="38FA3882" w:rsidR="006950B3" w:rsidRPr="00C664F4" w:rsidRDefault="006950B3">
          <w:pPr>
            <w:pStyle w:val="TOC1"/>
            <w:tabs>
              <w:tab w:val="right" w:leader="dot" w:pos="9016"/>
            </w:tabs>
            <w:rPr>
              <w:rFonts w:asciiTheme="minorHAnsi" w:eastAsiaTheme="minorEastAsia" w:hAnsiTheme="minorHAnsi" w:cstheme="minorHAnsi"/>
              <w:noProof/>
              <w:kern w:val="2"/>
              <w:lang w:eastAsia="en-AU"/>
              <w14:ligatures w14:val="standardContextual"/>
            </w:rPr>
          </w:pPr>
          <w:hyperlink w:anchor="_Toc198202087" w:history="1">
            <w:r w:rsidRPr="00C664F4">
              <w:rPr>
                <w:rStyle w:val="Hyperlink"/>
                <w:rFonts w:asciiTheme="minorHAnsi" w:hAnsiTheme="minorHAnsi" w:cstheme="minorHAnsi"/>
                <w:noProof/>
              </w:rPr>
              <w:t>Recommendations on Foundational Supports</w:t>
            </w:r>
            <w:r w:rsidRPr="00C664F4">
              <w:rPr>
                <w:rFonts w:asciiTheme="minorHAnsi" w:hAnsiTheme="minorHAnsi" w:cstheme="minorHAnsi"/>
                <w:noProof/>
                <w:webHidden/>
              </w:rPr>
              <w:tab/>
            </w:r>
            <w:r w:rsidRPr="00C664F4">
              <w:rPr>
                <w:rFonts w:asciiTheme="minorHAnsi" w:hAnsiTheme="minorHAnsi" w:cstheme="minorHAnsi"/>
                <w:noProof/>
                <w:webHidden/>
              </w:rPr>
              <w:fldChar w:fldCharType="begin"/>
            </w:r>
            <w:r w:rsidRPr="00C664F4">
              <w:rPr>
                <w:rFonts w:asciiTheme="minorHAnsi" w:hAnsiTheme="minorHAnsi" w:cstheme="minorHAnsi"/>
                <w:noProof/>
                <w:webHidden/>
              </w:rPr>
              <w:instrText xml:space="preserve"> PAGEREF _Toc198202087 \h </w:instrText>
            </w:r>
            <w:r w:rsidRPr="00C664F4">
              <w:rPr>
                <w:rFonts w:asciiTheme="minorHAnsi" w:hAnsiTheme="minorHAnsi" w:cstheme="minorHAnsi"/>
                <w:noProof/>
                <w:webHidden/>
              </w:rPr>
            </w:r>
            <w:r w:rsidRPr="00C664F4">
              <w:rPr>
                <w:rFonts w:asciiTheme="minorHAnsi" w:hAnsiTheme="minorHAnsi" w:cstheme="minorHAnsi"/>
                <w:noProof/>
                <w:webHidden/>
              </w:rPr>
              <w:fldChar w:fldCharType="separate"/>
            </w:r>
            <w:r w:rsidRPr="00C664F4">
              <w:rPr>
                <w:rFonts w:asciiTheme="minorHAnsi" w:hAnsiTheme="minorHAnsi" w:cstheme="minorHAnsi"/>
                <w:noProof/>
                <w:webHidden/>
              </w:rPr>
              <w:t>5</w:t>
            </w:r>
            <w:r w:rsidRPr="00C664F4">
              <w:rPr>
                <w:rFonts w:asciiTheme="minorHAnsi" w:hAnsiTheme="minorHAnsi" w:cstheme="minorHAnsi"/>
                <w:noProof/>
                <w:webHidden/>
              </w:rPr>
              <w:fldChar w:fldCharType="end"/>
            </w:r>
          </w:hyperlink>
        </w:p>
        <w:p w14:paraId="111AB5F6" w14:textId="5E0132E8" w:rsidR="006950B3" w:rsidRPr="00C664F4" w:rsidRDefault="006950B3">
          <w:pPr>
            <w:pStyle w:val="TOC1"/>
            <w:tabs>
              <w:tab w:val="right" w:leader="dot" w:pos="9016"/>
            </w:tabs>
            <w:rPr>
              <w:rFonts w:asciiTheme="minorHAnsi" w:eastAsiaTheme="minorEastAsia" w:hAnsiTheme="minorHAnsi" w:cstheme="minorHAnsi"/>
              <w:noProof/>
              <w:kern w:val="2"/>
              <w:lang w:eastAsia="en-AU"/>
              <w14:ligatures w14:val="standardContextual"/>
            </w:rPr>
          </w:pPr>
          <w:hyperlink w:anchor="_Toc198202092" w:history="1">
            <w:r w:rsidRPr="00C664F4">
              <w:rPr>
                <w:rStyle w:val="Hyperlink"/>
                <w:rFonts w:asciiTheme="minorHAnsi" w:hAnsiTheme="minorHAnsi" w:cstheme="minorHAnsi"/>
                <w:noProof/>
              </w:rPr>
              <w:t>Overview of Foundational Supports- what we know so far</w:t>
            </w:r>
            <w:r w:rsidRPr="00C664F4">
              <w:rPr>
                <w:rFonts w:asciiTheme="minorHAnsi" w:hAnsiTheme="minorHAnsi" w:cstheme="minorHAnsi"/>
                <w:noProof/>
                <w:webHidden/>
              </w:rPr>
              <w:tab/>
            </w:r>
            <w:r w:rsidRPr="00C664F4">
              <w:rPr>
                <w:rFonts w:asciiTheme="minorHAnsi" w:hAnsiTheme="minorHAnsi" w:cstheme="minorHAnsi"/>
                <w:noProof/>
                <w:webHidden/>
              </w:rPr>
              <w:fldChar w:fldCharType="begin"/>
            </w:r>
            <w:r w:rsidRPr="00C664F4">
              <w:rPr>
                <w:rFonts w:asciiTheme="minorHAnsi" w:hAnsiTheme="minorHAnsi" w:cstheme="minorHAnsi"/>
                <w:noProof/>
                <w:webHidden/>
              </w:rPr>
              <w:instrText xml:space="preserve"> PAGEREF _Toc198202092 \h </w:instrText>
            </w:r>
            <w:r w:rsidRPr="00C664F4">
              <w:rPr>
                <w:rFonts w:asciiTheme="minorHAnsi" w:hAnsiTheme="minorHAnsi" w:cstheme="minorHAnsi"/>
                <w:noProof/>
                <w:webHidden/>
              </w:rPr>
            </w:r>
            <w:r w:rsidRPr="00C664F4">
              <w:rPr>
                <w:rFonts w:asciiTheme="minorHAnsi" w:hAnsiTheme="minorHAnsi" w:cstheme="minorHAnsi"/>
                <w:noProof/>
                <w:webHidden/>
              </w:rPr>
              <w:fldChar w:fldCharType="separate"/>
            </w:r>
            <w:r w:rsidRPr="00C664F4">
              <w:rPr>
                <w:rFonts w:asciiTheme="minorHAnsi" w:hAnsiTheme="minorHAnsi" w:cstheme="minorHAnsi"/>
                <w:noProof/>
                <w:webHidden/>
              </w:rPr>
              <w:t>7</w:t>
            </w:r>
            <w:r w:rsidRPr="00C664F4">
              <w:rPr>
                <w:rFonts w:asciiTheme="minorHAnsi" w:hAnsiTheme="minorHAnsi" w:cstheme="minorHAnsi"/>
                <w:noProof/>
                <w:webHidden/>
              </w:rPr>
              <w:fldChar w:fldCharType="end"/>
            </w:r>
          </w:hyperlink>
        </w:p>
        <w:p w14:paraId="48C360FA" w14:textId="0FF34DAA" w:rsidR="006950B3" w:rsidRPr="00C664F4" w:rsidRDefault="006950B3">
          <w:pPr>
            <w:pStyle w:val="TOC2"/>
            <w:rPr>
              <w:rFonts w:asciiTheme="minorHAnsi" w:eastAsiaTheme="minorEastAsia" w:hAnsiTheme="minorHAnsi" w:cstheme="minorHAnsi"/>
              <w:noProof/>
              <w:kern w:val="2"/>
              <w:lang w:eastAsia="en-AU"/>
              <w14:ligatures w14:val="standardContextual"/>
            </w:rPr>
          </w:pPr>
          <w:hyperlink w:anchor="_Toc198202093" w:history="1">
            <w:r w:rsidRPr="00C664F4">
              <w:rPr>
                <w:rStyle w:val="Hyperlink"/>
                <w:rFonts w:asciiTheme="minorHAnsi" w:hAnsiTheme="minorHAnsi" w:cstheme="minorHAnsi"/>
                <w:noProof/>
              </w:rPr>
              <w:t>What people with physical disabilities told PDCN about their needs</w:t>
            </w:r>
            <w:r w:rsidRPr="00C664F4">
              <w:rPr>
                <w:rFonts w:asciiTheme="minorHAnsi" w:hAnsiTheme="minorHAnsi" w:cstheme="minorHAnsi"/>
                <w:noProof/>
                <w:webHidden/>
              </w:rPr>
              <w:tab/>
            </w:r>
            <w:r w:rsidRPr="00C664F4">
              <w:rPr>
                <w:rFonts w:asciiTheme="minorHAnsi" w:hAnsiTheme="minorHAnsi" w:cstheme="minorHAnsi"/>
                <w:noProof/>
                <w:webHidden/>
              </w:rPr>
              <w:fldChar w:fldCharType="begin"/>
            </w:r>
            <w:r w:rsidRPr="00C664F4">
              <w:rPr>
                <w:rFonts w:asciiTheme="minorHAnsi" w:hAnsiTheme="minorHAnsi" w:cstheme="minorHAnsi"/>
                <w:noProof/>
                <w:webHidden/>
              </w:rPr>
              <w:instrText xml:space="preserve"> PAGEREF _Toc198202093 \h </w:instrText>
            </w:r>
            <w:r w:rsidRPr="00C664F4">
              <w:rPr>
                <w:rFonts w:asciiTheme="minorHAnsi" w:hAnsiTheme="minorHAnsi" w:cstheme="minorHAnsi"/>
                <w:noProof/>
                <w:webHidden/>
              </w:rPr>
            </w:r>
            <w:r w:rsidRPr="00C664F4">
              <w:rPr>
                <w:rFonts w:asciiTheme="minorHAnsi" w:hAnsiTheme="minorHAnsi" w:cstheme="minorHAnsi"/>
                <w:noProof/>
                <w:webHidden/>
              </w:rPr>
              <w:fldChar w:fldCharType="separate"/>
            </w:r>
            <w:r w:rsidRPr="00C664F4">
              <w:rPr>
                <w:rFonts w:asciiTheme="minorHAnsi" w:hAnsiTheme="minorHAnsi" w:cstheme="minorHAnsi"/>
                <w:noProof/>
                <w:webHidden/>
              </w:rPr>
              <w:t>7</w:t>
            </w:r>
            <w:r w:rsidRPr="00C664F4">
              <w:rPr>
                <w:rFonts w:asciiTheme="minorHAnsi" w:hAnsiTheme="minorHAnsi" w:cstheme="minorHAnsi"/>
                <w:noProof/>
                <w:webHidden/>
              </w:rPr>
              <w:fldChar w:fldCharType="end"/>
            </w:r>
          </w:hyperlink>
        </w:p>
        <w:p w14:paraId="0A6C4305" w14:textId="3BDE9955" w:rsidR="006950B3" w:rsidRPr="00C664F4" w:rsidRDefault="006950B3">
          <w:pPr>
            <w:pStyle w:val="TOC1"/>
            <w:tabs>
              <w:tab w:val="right" w:leader="dot" w:pos="9016"/>
            </w:tabs>
            <w:rPr>
              <w:rFonts w:asciiTheme="minorHAnsi" w:eastAsiaTheme="minorEastAsia" w:hAnsiTheme="minorHAnsi" w:cstheme="minorHAnsi"/>
              <w:noProof/>
              <w:kern w:val="2"/>
              <w:lang w:eastAsia="en-AU"/>
              <w14:ligatures w14:val="standardContextual"/>
            </w:rPr>
          </w:pPr>
          <w:hyperlink w:anchor="_Toc198202094" w:history="1">
            <w:r w:rsidRPr="00C664F4">
              <w:rPr>
                <w:rStyle w:val="Hyperlink"/>
                <w:rFonts w:asciiTheme="minorHAnsi" w:hAnsiTheme="minorHAnsi" w:cstheme="minorHAnsi"/>
                <w:noProof/>
              </w:rPr>
              <w:t>Further information on our recommendations</w:t>
            </w:r>
            <w:r w:rsidRPr="00C664F4">
              <w:rPr>
                <w:rFonts w:asciiTheme="minorHAnsi" w:hAnsiTheme="minorHAnsi" w:cstheme="minorHAnsi"/>
                <w:noProof/>
                <w:webHidden/>
              </w:rPr>
              <w:tab/>
            </w:r>
            <w:r w:rsidRPr="00C664F4">
              <w:rPr>
                <w:rFonts w:asciiTheme="minorHAnsi" w:hAnsiTheme="minorHAnsi" w:cstheme="minorHAnsi"/>
                <w:noProof/>
                <w:webHidden/>
              </w:rPr>
              <w:fldChar w:fldCharType="begin"/>
            </w:r>
            <w:r w:rsidRPr="00C664F4">
              <w:rPr>
                <w:rFonts w:asciiTheme="minorHAnsi" w:hAnsiTheme="minorHAnsi" w:cstheme="minorHAnsi"/>
                <w:noProof/>
                <w:webHidden/>
              </w:rPr>
              <w:instrText xml:space="preserve"> PAGEREF _Toc198202094 \h </w:instrText>
            </w:r>
            <w:r w:rsidRPr="00C664F4">
              <w:rPr>
                <w:rFonts w:asciiTheme="minorHAnsi" w:hAnsiTheme="minorHAnsi" w:cstheme="minorHAnsi"/>
                <w:noProof/>
                <w:webHidden/>
              </w:rPr>
            </w:r>
            <w:r w:rsidRPr="00C664F4">
              <w:rPr>
                <w:rFonts w:asciiTheme="minorHAnsi" w:hAnsiTheme="minorHAnsi" w:cstheme="minorHAnsi"/>
                <w:noProof/>
                <w:webHidden/>
              </w:rPr>
              <w:fldChar w:fldCharType="separate"/>
            </w:r>
            <w:r w:rsidRPr="00C664F4">
              <w:rPr>
                <w:rFonts w:asciiTheme="minorHAnsi" w:hAnsiTheme="minorHAnsi" w:cstheme="minorHAnsi"/>
                <w:noProof/>
                <w:webHidden/>
              </w:rPr>
              <w:t>8</w:t>
            </w:r>
            <w:r w:rsidRPr="00C664F4">
              <w:rPr>
                <w:rFonts w:asciiTheme="minorHAnsi" w:hAnsiTheme="minorHAnsi" w:cstheme="minorHAnsi"/>
                <w:noProof/>
                <w:webHidden/>
              </w:rPr>
              <w:fldChar w:fldCharType="end"/>
            </w:r>
          </w:hyperlink>
        </w:p>
        <w:p w14:paraId="1989F953" w14:textId="1110382E" w:rsidR="006950B3" w:rsidRPr="00C664F4" w:rsidRDefault="006950B3">
          <w:pPr>
            <w:pStyle w:val="TOC1"/>
            <w:tabs>
              <w:tab w:val="right" w:leader="dot" w:pos="9016"/>
            </w:tabs>
            <w:rPr>
              <w:rFonts w:asciiTheme="minorHAnsi" w:eastAsiaTheme="minorEastAsia" w:hAnsiTheme="minorHAnsi" w:cstheme="minorHAnsi"/>
              <w:noProof/>
              <w:kern w:val="2"/>
              <w:lang w:eastAsia="en-AU"/>
              <w14:ligatures w14:val="standardContextual"/>
            </w:rPr>
          </w:pPr>
          <w:hyperlink w:anchor="_Toc198202099" w:history="1">
            <w:r w:rsidRPr="00C664F4">
              <w:rPr>
                <w:rStyle w:val="Hyperlink"/>
                <w:rFonts w:asciiTheme="minorHAnsi" w:hAnsiTheme="minorHAnsi" w:cstheme="minorHAnsi"/>
                <w:noProof/>
              </w:rPr>
              <w:t>Concluding Remarks</w:t>
            </w:r>
            <w:r w:rsidRPr="00C664F4">
              <w:rPr>
                <w:rFonts w:asciiTheme="minorHAnsi" w:hAnsiTheme="minorHAnsi" w:cstheme="minorHAnsi"/>
                <w:noProof/>
                <w:webHidden/>
              </w:rPr>
              <w:tab/>
            </w:r>
            <w:r w:rsidRPr="00C664F4">
              <w:rPr>
                <w:rFonts w:asciiTheme="minorHAnsi" w:hAnsiTheme="minorHAnsi" w:cstheme="minorHAnsi"/>
                <w:noProof/>
                <w:webHidden/>
              </w:rPr>
              <w:fldChar w:fldCharType="begin"/>
            </w:r>
            <w:r w:rsidRPr="00C664F4">
              <w:rPr>
                <w:rFonts w:asciiTheme="minorHAnsi" w:hAnsiTheme="minorHAnsi" w:cstheme="minorHAnsi"/>
                <w:noProof/>
                <w:webHidden/>
              </w:rPr>
              <w:instrText xml:space="preserve"> PAGEREF _Toc198202099 \h </w:instrText>
            </w:r>
            <w:r w:rsidRPr="00C664F4">
              <w:rPr>
                <w:rFonts w:asciiTheme="minorHAnsi" w:hAnsiTheme="minorHAnsi" w:cstheme="minorHAnsi"/>
                <w:noProof/>
                <w:webHidden/>
              </w:rPr>
            </w:r>
            <w:r w:rsidRPr="00C664F4">
              <w:rPr>
                <w:rFonts w:asciiTheme="minorHAnsi" w:hAnsiTheme="minorHAnsi" w:cstheme="minorHAnsi"/>
                <w:noProof/>
                <w:webHidden/>
              </w:rPr>
              <w:fldChar w:fldCharType="separate"/>
            </w:r>
            <w:r w:rsidRPr="00C664F4">
              <w:rPr>
                <w:rFonts w:asciiTheme="minorHAnsi" w:hAnsiTheme="minorHAnsi" w:cstheme="minorHAnsi"/>
                <w:noProof/>
                <w:webHidden/>
              </w:rPr>
              <w:t>11</w:t>
            </w:r>
            <w:r w:rsidRPr="00C664F4">
              <w:rPr>
                <w:rFonts w:asciiTheme="minorHAnsi" w:hAnsiTheme="minorHAnsi" w:cstheme="minorHAnsi"/>
                <w:noProof/>
                <w:webHidden/>
              </w:rPr>
              <w:fldChar w:fldCharType="end"/>
            </w:r>
          </w:hyperlink>
        </w:p>
        <w:p w14:paraId="4C25B2C8" w14:textId="5D2E9EFF" w:rsidR="008D7D79" w:rsidRPr="00050482" w:rsidRDefault="008D7D79" w:rsidP="00050482">
          <w:pPr>
            <w:spacing w:line="360" w:lineRule="auto"/>
            <w:rPr>
              <w:rFonts w:asciiTheme="minorHAnsi" w:hAnsiTheme="minorHAnsi" w:cstheme="minorHAnsi"/>
              <w:b/>
              <w:bCs/>
              <w:sz w:val="24"/>
              <w:szCs w:val="24"/>
            </w:rPr>
          </w:pPr>
          <w:r w:rsidRPr="00C664F4">
            <w:rPr>
              <w:rFonts w:asciiTheme="minorHAnsi" w:hAnsiTheme="minorHAnsi" w:cstheme="minorHAnsi"/>
              <w:noProof/>
            </w:rPr>
            <w:fldChar w:fldCharType="end"/>
          </w:r>
        </w:p>
      </w:sdtContent>
    </w:sdt>
    <w:p w14:paraId="44829F68" w14:textId="77777777" w:rsidR="009C6617" w:rsidRPr="00050482" w:rsidRDefault="009C6617" w:rsidP="0097493D">
      <w:pPr>
        <w:pStyle w:val="Question"/>
        <w:jc w:val="center"/>
        <w:rPr>
          <w:rFonts w:asciiTheme="minorHAnsi" w:hAnsiTheme="minorHAnsi" w:cstheme="minorHAnsi"/>
          <w:bCs/>
          <w:sz w:val="24"/>
          <w:szCs w:val="24"/>
        </w:rPr>
      </w:pPr>
      <w:r w:rsidRPr="00050482">
        <w:rPr>
          <w:rFonts w:asciiTheme="minorHAnsi" w:hAnsiTheme="minorHAnsi" w:cstheme="minorHAnsi"/>
          <w:bCs/>
          <w:sz w:val="24"/>
          <w:szCs w:val="24"/>
        </w:rPr>
        <w:br w:type="page"/>
      </w:r>
    </w:p>
    <w:p w14:paraId="622A285A" w14:textId="77777777" w:rsidR="009C6617" w:rsidRDefault="009C6617" w:rsidP="00F14D7A">
      <w:pPr>
        <w:pStyle w:val="Heading1"/>
      </w:pPr>
      <w:bookmarkStart w:id="3" w:name="_Toc198202085"/>
      <w:r w:rsidRPr="00F14D7A">
        <w:lastRenderedPageBreak/>
        <w:t>Who is the Physical Disability Council of NSW?</w:t>
      </w:r>
      <w:bookmarkEnd w:id="3"/>
      <w:r w:rsidRPr="00F14D7A">
        <w:t xml:space="preserve"> </w:t>
      </w:r>
    </w:p>
    <w:p w14:paraId="065B0128" w14:textId="77777777" w:rsidR="00C836E2" w:rsidRPr="00C836E2" w:rsidRDefault="00C836E2" w:rsidP="00C836E2"/>
    <w:p w14:paraId="61439998" w14:textId="77777777" w:rsidR="002A3DCF" w:rsidRPr="00D76596" w:rsidRDefault="002A3DCF" w:rsidP="002A3DCF">
      <w:pPr>
        <w:pStyle w:val="PolicyBody"/>
        <w:rPr>
          <w:rFonts w:asciiTheme="minorHAnsi" w:hAnsiTheme="minorHAnsi" w:cstheme="minorHAnsi"/>
        </w:rPr>
      </w:pPr>
      <w:r w:rsidRPr="00D76596">
        <w:rPr>
          <w:rFonts w:asciiTheme="minorHAnsi" w:hAnsiTheme="minorHAnsi" w:cstheme="minorHAnsi"/>
        </w:rPr>
        <w:t xml:space="preserve">The Physical Disability Council of New South Wales (PDCN) is the peak advocacy organisation for people with physical disabilities in NSW. We stand up for the rights of people with physical disabilities, advocate for disability inclusion across Government and business, and drive systemic reform around accessibility. </w:t>
      </w:r>
    </w:p>
    <w:p w14:paraId="43F4A7E4" w14:textId="77777777" w:rsidR="009C6617" w:rsidRPr="00D76596" w:rsidRDefault="009C6617" w:rsidP="008B370B">
      <w:pPr>
        <w:pStyle w:val="PolicyBody"/>
        <w:rPr>
          <w:rFonts w:asciiTheme="minorHAnsi" w:hAnsiTheme="minorHAnsi" w:cstheme="minorHAnsi"/>
        </w:rPr>
      </w:pPr>
    </w:p>
    <w:p w14:paraId="1BD9BE81" w14:textId="77777777" w:rsidR="009C6617" w:rsidRPr="00D76596" w:rsidRDefault="009C6617" w:rsidP="008B370B">
      <w:pPr>
        <w:pStyle w:val="PolicyBody"/>
        <w:rPr>
          <w:rFonts w:asciiTheme="minorHAnsi" w:hAnsiTheme="minorHAnsi" w:cstheme="minorHAnsi"/>
        </w:rPr>
      </w:pPr>
      <w:r w:rsidRPr="00D76596">
        <w:rPr>
          <w:rFonts w:asciiTheme="minorHAnsi" w:hAnsiTheme="minorHAnsi" w:cstheme="minorHAnsi"/>
        </w:rPr>
        <w:t xml:space="preserve">The objectives of PDCN are: </w:t>
      </w:r>
    </w:p>
    <w:p w14:paraId="0B6E2B31" w14:textId="77777777" w:rsidR="008B370B" w:rsidRPr="00D76596" w:rsidRDefault="009C6617" w:rsidP="008B370B">
      <w:pPr>
        <w:pStyle w:val="PolicyBody"/>
        <w:numPr>
          <w:ilvl w:val="0"/>
          <w:numId w:val="17"/>
        </w:numPr>
        <w:rPr>
          <w:rFonts w:asciiTheme="minorHAnsi" w:hAnsiTheme="minorHAnsi" w:cstheme="minorHAnsi"/>
        </w:rPr>
      </w:pPr>
      <w:r w:rsidRPr="00D76596">
        <w:rPr>
          <w:rFonts w:asciiTheme="minorHAnsi" w:hAnsiTheme="minorHAnsi" w:cstheme="minorHAnsi"/>
        </w:rPr>
        <w:t>To educate, inform and assist people with physical disabilities in NSW about the range of services, structure and programs available that enable their full participation, equality of opportunity and equality of citizenship.</w:t>
      </w:r>
    </w:p>
    <w:p w14:paraId="1C7B9F7D" w14:textId="77777777" w:rsidR="008B370B" w:rsidRPr="00D76596" w:rsidRDefault="009C6617" w:rsidP="008B370B">
      <w:pPr>
        <w:pStyle w:val="PolicyBody"/>
        <w:numPr>
          <w:ilvl w:val="0"/>
          <w:numId w:val="17"/>
        </w:numPr>
        <w:rPr>
          <w:rFonts w:asciiTheme="minorHAnsi" w:hAnsiTheme="minorHAnsi" w:cstheme="minorHAnsi"/>
        </w:rPr>
      </w:pPr>
      <w:r w:rsidRPr="00D76596">
        <w:rPr>
          <w:rFonts w:asciiTheme="minorHAnsi" w:hAnsiTheme="minorHAnsi" w:cstheme="minorHAnsi"/>
        </w:rPr>
        <w:t>To develop the capacity of people with physical disability in NSW to identify their own goals, and the confidence to develop a pathway to achieving their goals (i.e. self-advocate).</w:t>
      </w:r>
    </w:p>
    <w:p w14:paraId="67BB280E" w14:textId="420A5F2B" w:rsidR="009100CB" w:rsidRPr="00D76596" w:rsidRDefault="009C6617" w:rsidP="00366007">
      <w:pPr>
        <w:pStyle w:val="PolicyBody"/>
        <w:numPr>
          <w:ilvl w:val="0"/>
          <w:numId w:val="17"/>
        </w:numPr>
        <w:rPr>
          <w:rFonts w:asciiTheme="minorHAnsi" w:hAnsiTheme="minorHAnsi" w:cstheme="minorHAnsi"/>
        </w:rPr>
      </w:pPr>
      <w:r w:rsidRPr="00D76596">
        <w:rPr>
          <w:rFonts w:asciiTheme="minorHAnsi" w:hAnsiTheme="minorHAnsi" w:cstheme="minorHAnsi"/>
        </w:rPr>
        <w:t xml:space="preserve">To educate and inform stakeholders (i.e.: about the needs of people with a physical disability) so that they </w:t>
      </w:r>
      <w:r w:rsidR="00367E01" w:rsidRPr="00D76596">
        <w:rPr>
          <w:rFonts w:asciiTheme="minorHAnsi" w:hAnsiTheme="minorHAnsi" w:cstheme="minorHAnsi"/>
        </w:rPr>
        <w:t>can</w:t>
      </w:r>
      <w:r w:rsidRPr="00D76596">
        <w:rPr>
          <w:rFonts w:asciiTheme="minorHAnsi" w:hAnsiTheme="minorHAnsi" w:cstheme="minorHAnsi"/>
        </w:rPr>
        <w:t xml:space="preserve"> achieve and maintain full participation, equality of opportunity and equality of citizenship.</w:t>
      </w:r>
    </w:p>
    <w:p w14:paraId="45347D5B" w14:textId="77777777" w:rsidR="008160A4" w:rsidRPr="00D76596" w:rsidRDefault="008160A4" w:rsidP="00366007">
      <w:pPr>
        <w:pStyle w:val="PolicyBody"/>
        <w:ind w:left="360"/>
        <w:rPr>
          <w:rFonts w:asciiTheme="minorHAnsi" w:hAnsiTheme="minorHAnsi" w:cstheme="minorHAnsi"/>
        </w:rPr>
      </w:pPr>
    </w:p>
    <w:p w14:paraId="22DE6FE7" w14:textId="77777777" w:rsidR="009100CB" w:rsidRPr="00D76596" w:rsidRDefault="009100CB" w:rsidP="00366007">
      <w:pPr>
        <w:pStyle w:val="PolicyBody"/>
        <w:rPr>
          <w:rFonts w:asciiTheme="minorHAnsi" w:hAnsiTheme="minorHAnsi" w:cstheme="minorHAnsi"/>
        </w:rPr>
      </w:pPr>
      <w:r w:rsidRPr="00D76596">
        <w:rPr>
          <w:rFonts w:asciiTheme="minorHAnsi" w:hAnsiTheme="minorHAnsi" w:cstheme="minorHAnsi"/>
        </w:rPr>
        <w:t xml:space="preserve">PDCN also convenes the NSW Disability Advocacy Network (NDAN), which is a network of disability advocacy organisations across NSW.  We are funded by the NSW Department of Communities and Justice. Collectively we deliver systemic, representative and individual disability advocacy services across the state and represent people with disabilities in NSW at the National level. </w:t>
      </w:r>
    </w:p>
    <w:p w14:paraId="6E4321D2" w14:textId="7A458BEA" w:rsidR="009100CB" w:rsidRPr="00D76596" w:rsidRDefault="009100CB" w:rsidP="00366007">
      <w:pPr>
        <w:pStyle w:val="PolicyBody"/>
        <w:rPr>
          <w:rFonts w:asciiTheme="minorHAnsi" w:hAnsiTheme="minorHAnsi" w:cstheme="minorHAnsi"/>
        </w:rPr>
      </w:pPr>
      <w:r w:rsidRPr="00D76596">
        <w:rPr>
          <w:rFonts w:asciiTheme="minorHAnsi" w:hAnsiTheme="minorHAnsi" w:cstheme="minorHAnsi"/>
        </w:rPr>
        <w:t>The following submission draws on the knowledge and experience of people with lived experience of physical disability (and the lived experience of all people with disabilities shared through NDAN).</w:t>
      </w:r>
    </w:p>
    <w:p w14:paraId="6601195D" w14:textId="77777777" w:rsidR="00B7056F" w:rsidRPr="00D76596" w:rsidRDefault="00B7056F" w:rsidP="00366007">
      <w:pPr>
        <w:pStyle w:val="Question"/>
        <w:jc w:val="both"/>
        <w:rPr>
          <w:rFonts w:asciiTheme="minorHAnsi" w:hAnsiTheme="minorHAnsi" w:cstheme="minorHAnsi"/>
        </w:rPr>
      </w:pPr>
      <w:r w:rsidRPr="00D76596">
        <w:rPr>
          <w:rFonts w:asciiTheme="minorHAnsi" w:hAnsiTheme="minorHAnsi" w:cstheme="minorHAnsi"/>
        </w:rPr>
        <w:br w:type="page"/>
      </w:r>
    </w:p>
    <w:p w14:paraId="7E82112C" w14:textId="77777777" w:rsidR="00B2202F" w:rsidRPr="00D76596" w:rsidRDefault="00B2202F" w:rsidP="00E3156F">
      <w:pPr>
        <w:pStyle w:val="Heading1"/>
        <w:rPr>
          <w:rFonts w:asciiTheme="minorHAnsi" w:hAnsiTheme="minorHAnsi" w:cstheme="minorHAnsi"/>
        </w:rPr>
      </w:pPr>
      <w:bookmarkStart w:id="4" w:name="_Toc198202086"/>
      <w:r w:rsidRPr="00D76596">
        <w:rPr>
          <w:rFonts w:asciiTheme="minorHAnsi" w:hAnsiTheme="minorHAnsi" w:cstheme="minorHAnsi"/>
        </w:rPr>
        <w:lastRenderedPageBreak/>
        <w:t>Executive summary</w:t>
      </w:r>
      <w:bookmarkEnd w:id="4"/>
    </w:p>
    <w:p w14:paraId="3E4EEF6C" w14:textId="77777777" w:rsidR="00540E55" w:rsidRDefault="00540E55" w:rsidP="00540E55"/>
    <w:p w14:paraId="67E3B69A" w14:textId="34EEA6E3" w:rsidR="00540E55" w:rsidRPr="00540E55" w:rsidRDefault="00B057FB" w:rsidP="00540E55">
      <w:pPr>
        <w:rPr>
          <w:rFonts w:asciiTheme="minorHAnsi" w:hAnsiTheme="minorHAnsi" w:cstheme="minorHAnsi"/>
        </w:rPr>
      </w:pPr>
      <w:r w:rsidRPr="008029A9">
        <w:rPr>
          <w:rFonts w:asciiTheme="minorHAnsi" w:hAnsiTheme="minorHAnsi" w:cstheme="minorHAnsi"/>
        </w:rPr>
        <w:t>The introduction of f</w:t>
      </w:r>
      <w:r w:rsidR="00540E55" w:rsidRPr="00540E55">
        <w:rPr>
          <w:rFonts w:asciiTheme="minorHAnsi" w:hAnsiTheme="minorHAnsi" w:cstheme="minorHAnsi"/>
        </w:rPr>
        <w:t>oundational supports</w:t>
      </w:r>
      <w:r w:rsidR="003B5690" w:rsidRPr="008029A9">
        <w:rPr>
          <w:rFonts w:asciiTheme="minorHAnsi" w:hAnsiTheme="minorHAnsi" w:cstheme="minorHAnsi"/>
        </w:rPr>
        <w:t xml:space="preserve"> for people with disability</w:t>
      </w:r>
      <w:r w:rsidR="00540E55" w:rsidRPr="00540E55">
        <w:rPr>
          <w:rFonts w:asciiTheme="minorHAnsi" w:hAnsiTheme="minorHAnsi" w:cstheme="minorHAnsi"/>
        </w:rPr>
        <w:t xml:space="preserve"> w</w:t>
      </w:r>
      <w:r w:rsidR="00045481" w:rsidRPr="008029A9">
        <w:rPr>
          <w:rFonts w:asciiTheme="minorHAnsi" w:hAnsiTheme="minorHAnsi" w:cstheme="minorHAnsi"/>
        </w:rPr>
        <w:t xml:space="preserve">as a key </w:t>
      </w:r>
      <w:r w:rsidR="00540E55" w:rsidRPr="00540E55">
        <w:rPr>
          <w:rFonts w:asciiTheme="minorHAnsi" w:hAnsiTheme="minorHAnsi" w:cstheme="minorHAnsi"/>
        </w:rPr>
        <w:t>recommendation of the Independent Review of the NDIS</w:t>
      </w:r>
      <w:r w:rsidR="00045481" w:rsidRPr="008029A9">
        <w:rPr>
          <w:rFonts w:asciiTheme="minorHAnsi" w:hAnsiTheme="minorHAnsi" w:cstheme="minorHAnsi"/>
        </w:rPr>
        <w:t xml:space="preserve"> in 2023</w:t>
      </w:r>
      <w:r w:rsidR="00540E55" w:rsidRPr="00540E55">
        <w:rPr>
          <w:rFonts w:asciiTheme="minorHAnsi" w:hAnsiTheme="minorHAnsi" w:cstheme="minorHAnsi"/>
        </w:rPr>
        <w:t>, intended to address a core failure of the current system: that for many people with disability, the NDIS has become an “oasis in the desert” of available support. These community-based services</w:t>
      </w:r>
      <w:r w:rsidR="00045481" w:rsidRPr="008029A9">
        <w:rPr>
          <w:rFonts w:asciiTheme="minorHAnsi" w:hAnsiTheme="minorHAnsi" w:cstheme="minorHAnsi"/>
        </w:rPr>
        <w:t xml:space="preserve">, </w:t>
      </w:r>
      <w:r w:rsidR="00540E55" w:rsidRPr="000B07FC">
        <w:rPr>
          <w:rFonts w:asciiTheme="minorHAnsi" w:hAnsiTheme="minorHAnsi" w:cstheme="minorHAnsi"/>
        </w:rPr>
        <w:t xml:space="preserve">such as </w:t>
      </w:r>
      <w:r w:rsidR="000B07FC" w:rsidRPr="31B9891F">
        <w:rPr>
          <w:rFonts w:asciiTheme="minorHAnsi" w:hAnsiTheme="minorHAnsi"/>
        </w:rPr>
        <w:t>peer mentoring, rights education, and self-advocacy</w:t>
      </w:r>
      <w:r w:rsidR="000B07FC">
        <w:rPr>
          <w:rFonts w:asciiTheme="minorHAnsi" w:hAnsiTheme="minorHAnsi"/>
        </w:rPr>
        <w:t xml:space="preserve"> skills building</w:t>
      </w:r>
      <w:r w:rsidR="00045481" w:rsidRPr="008029A9">
        <w:rPr>
          <w:rFonts w:asciiTheme="minorHAnsi" w:hAnsiTheme="minorHAnsi" w:cstheme="minorHAnsi"/>
        </w:rPr>
        <w:t xml:space="preserve">, </w:t>
      </w:r>
      <w:r w:rsidR="00540E55" w:rsidRPr="00540E55">
        <w:rPr>
          <w:rFonts w:asciiTheme="minorHAnsi" w:hAnsiTheme="minorHAnsi" w:cstheme="minorHAnsi"/>
        </w:rPr>
        <w:t>are essential to ensuring that all people with disabilit</w:t>
      </w:r>
      <w:r w:rsidR="000B07FC">
        <w:rPr>
          <w:rFonts w:asciiTheme="minorHAnsi" w:hAnsiTheme="minorHAnsi" w:cstheme="minorHAnsi"/>
        </w:rPr>
        <w:t>ies</w:t>
      </w:r>
      <w:r w:rsidR="00540E55" w:rsidRPr="00540E55">
        <w:rPr>
          <w:rFonts w:asciiTheme="minorHAnsi" w:hAnsiTheme="minorHAnsi" w:cstheme="minorHAnsi"/>
        </w:rPr>
        <w:t>, including those not eligible for individual NDIS plans, can access the support they need to live independently, pursue their goals, and participate fully in their communities.</w:t>
      </w:r>
    </w:p>
    <w:p w14:paraId="25E11022" w14:textId="1B24A582" w:rsidR="00540E55" w:rsidRDefault="00540E55" w:rsidP="00540E55">
      <w:pPr>
        <w:rPr>
          <w:rFonts w:asciiTheme="minorHAnsi" w:hAnsiTheme="minorHAnsi" w:cstheme="minorHAnsi"/>
        </w:rPr>
      </w:pPr>
      <w:r w:rsidRPr="00540E55">
        <w:rPr>
          <w:rFonts w:asciiTheme="minorHAnsi" w:hAnsiTheme="minorHAnsi" w:cstheme="minorHAnsi"/>
        </w:rPr>
        <w:t xml:space="preserve">However, while reforms aimed at improving the sustainability of the NDIS are already underway, foundational supports have not yet been </w:t>
      </w:r>
      <w:r w:rsidR="001E3073" w:rsidRPr="00540E55">
        <w:rPr>
          <w:rFonts w:asciiTheme="minorHAnsi" w:hAnsiTheme="minorHAnsi" w:cstheme="minorHAnsi"/>
        </w:rPr>
        <w:t>established</w:t>
      </w:r>
      <w:r w:rsidR="001E3073">
        <w:rPr>
          <w:rFonts w:asciiTheme="minorHAnsi" w:hAnsiTheme="minorHAnsi" w:cstheme="minorHAnsi"/>
        </w:rPr>
        <w:t xml:space="preserve"> or</w:t>
      </w:r>
      <w:r w:rsidR="00ED7317">
        <w:rPr>
          <w:rFonts w:asciiTheme="minorHAnsi" w:hAnsiTheme="minorHAnsi" w:cstheme="minorHAnsi"/>
        </w:rPr>
        <w:t xml:space="preserve"> even scoped </w:t>
      </w:r>
      <w:r w:rsidR="001E3073">
        <w:rPr>
          <w:rFonts w:asciiTheme="minorHAnsi" w:hAnsiTheme="minorHAnsi" w:cstheme="minorHAnsi"/>
        </w:rPr>
        <w:t>and</w:t>
      </w:r>
      <w:r w:rsidR="00ED7317">
        <w:rPr>
          <w:rFonts w:asciiTheme="minorHAnsi" w:hAnsiTheme="minorHAnsi" w:cstheme="minorHAnsi"/>
        </w:rPr>
        <w:t xml:space="preserve"> agreed upon between the federal</w:t>
      </w:r>
      <w:r w:rsidR="0035432E">
        <w:rPr>
          <w:rFonts w:asciiTheme="minorHAnsi" w:hAnsiTheme="minorHAnsi" w:cstheme="minorHAnsi"/>
        </w:rPr>
        <w:t>,</w:t>
      </w:r>
      <w:r w:rsidR="00ED7317">
        <w:rPr>
          <w:rFonts w:asciiTheme="minorHAnsi" w:hAnsiTheme="minorHAnsi" w:cstheme="minorHAnsi"/>
        </w:rPr>
        <w:t xml:space="preserve"> state and territory governments</w:t>
      </w:r>
      <w:r w:rsidRPr="00540E55">
        <w:rPr>
          <w:rFonts w:asciiTheme="minorHAnsi" w:hAnsiTheme="minorHAnsi" w:cstheme="minorHAnsi"/>
        </w:rPr>
        <w:t>. This imbalance is creating urgent risks. Without foundational supports</w:t>
      </w:r>
      <w:r w:rsidR="00841EAF">
        <w:rPr>
          <w:rFonts w:asciiTheme="minorHAnsi" w:hAnsiTheme="minorHAnsi" w:cstheme="minorHAnsi"/>
        </w:rPr>
        <w:t xml:space="preserve"> in place while record numbers of NDIS participants are exiting the scheme</w:t>
      </w:r>
      <w:r w:rsidRPr="00540E55">
        <w:rPr>
          <w:rFonts w:asciiTheme="minorHAnsi" w:hAnsiTheme="minorHAnsi" w:cstheme="minorHAnsi"/>
        </w:rPr>
        <w:t>, people with disability continue to fall through the cracks</w:t>
      </w:r>
      <w:r w:rsidR="0031722A">
        <w:rPr>
          <w:rFonts w:asciiTheme="minorHAnsi" w:hAnsiTheme="minorHAnsi" w:cstheme="minorHAnsi"/>
        </w:rPr>
        <w:t>.</w:t>
      </w:r>
    </w:p>
    <w:p w14:paraId="4634A831" w14:textId="343A0C5D" w:rsidR="00540E55" w:rsidRPr="00540E55" w:rsidRDefault="00540E55" w:rsidP="00540E55">
      <w:pPr>
        <w:rPr>
          <w:rFonts w:asciiTheme="minorHAnsi" w:hAnsiTheme="minorHAnsi" w:cstheme="minorHAnsi"/>
        </w:rPr>
      </w:pPr>
      <w:r w:rsidRPr="00540E55">
        <w:rPr>
          <w:rFonts w:asciiTheme="minorHAnsi" w:hAnsiTheme="minorHAnsi" w:cstheme="minorHAnsi"/>
        </w:rPr>
        <w:t xml:space="preserve">People with physical disabilities in NSW report significant service gaps for those not eligible for the NDIS. Over half </w:t>
      </w:r>
      <w:r w:rsidR="00197061">
        <w:rPr>
          <w:rFonts w:asciiTheme="minorHAnsi" w:hAnsiTheme="minorHAnsi" w:cstheme="minorHAnsi"/>
        </w:rPr>
        <w:t xml:space="preserve">of people with physical disabilities </w:t>
      </w:r>
      <w:r w:rsidR="007239F3">
        <w:rPr>
          <w:rFonts w:asciiTheme="minorHAnsi" w:hAnsiTheme="minorHAnsi" w:cstheme="minorHAnsi"/>
        </w:rPr>
        <w:t xml:space="preserve">surveyed by PDCN </w:t>
      </w:r>
      <w:r w:rsidRPr="00540E55">
        <w:rPr>
          <w:rFonts w:asciiTheme="minorHAnsi" w:hAnsiTheme="minorHAnsi" w:cstheme="minorHAnsi"/>
        </w:rPr>
        <w:t>say adequate supports do not exist outside the scheme, and satisfaction with current options is low. There is overwhelming support (96.6%) for expanded foundational supports, particularly in areas such as daily life assistance, health, assistive technology, transport, mental health, and housing.</w:t>
      </w:r>
    </w:p>
    <w:p w14:paraId="48671792" w14:textId="77777777" w:rsidR="0074212F" w:rsidRPr="00540E55" w:rsidRDefault="0074212F" w:rsidP="0074212F">
      <w:pPr>
        <w:rPr>
          <w:rFonts w:asciiTheme="minorHAnsi" w:hAnsiTheme="minorHAnsi" w:cstheme="minorHAnsi"/>
        </w:rPr>
      </w:pPr>
      <w:r w:rsidRPr="00F84411">
        <w:rPr>
          <w:rFonts w:asciiTheme="minorHAnsi" w:hAnsiTheme="minorHAnsi" w:cstheme="minorHAnsi"/>
        </w:rPr>
        <w:t>PDCN’s 2025 member engagement highlights strong demand for peer support in areas such as understanding the NDIS (44%), post-traumatic growth (28%), supporting a person with disability (20%), self-advocacy (12%), and addressing loneliness (12%). Other needs include building independence, communication, and transport access (8% each). In response, PDCN offers one-to-one support, peer groups, and workshops on these topics, including a Nurturing Self program for parents and carers.</w:t>
      </w:r>
    </w:p>
    <w:p w14:paraId="6D253059" w14:textId="723606DB" w:rsidR="00540E55" w:rsidRPr="00540E55" w:rsidRDefault="008029A9" w:rsidP="00540E55">
      <w:pPr>
        <w:rPr>
          <w:rFonts w:asciiTheme="minorHAnsi" w:hAnsiTheme="minorHAnsi" w:cstheme="minorHAnsi"/>
        </w:rPr>
      </w:pPr>
      <w:r w:rsidRPr="008029A9">
        <w:rPr>
          <w:rFonts w:asciiTheme="minorHAnsi" w:hAnsiTheme="minorHAnsi" w:cstheme="minorHAnsi"/>
        </w:rPr>
        <w:t>People with physical disabilities in NSW also</w:t>
      </w:r>
      <w:r w:rsidR="00540E55" w:rsidRPr="00540E55">
        <w:rPr>
          <w:rFonts w:asciiTheme="minorHAnsi" w:hAnsiTheme="minorHAnsi" w:cstheme="minorHAnsi"/>
        </w:rPr>
        <w:t xml:space="preserve"> told PDCN they want foundational supports that provide choice, quality regulation, and flexible, person-centred approaches. A triaged gateway model led by trained local Navigators was strongly endorsed. Barriers to inclusion remain across sectors, especially retail, business, and banking. Most believe th</w:t>
      </w:r>
      <w:r w:rsidR="001E3073">
        <w:rPr>
          <w:rFonts w:asciiTheme="minorHAnsi" w:hAnsiTheme="minorHAnsi" w:cstheme="minorHAnsi"/>
        </w:rPr>
        <w:t>at</w:t>
      </w:r>
      <w:r w:rsidR="00540E55" w:rsidRPr="00540E55">
        <w:rPr>
          <w:rFonts w:asciiTheme="minorHAnsi" w:hAnsiTheme="minorHAnsi" w:cstheme="minorHAnsi"/>
        </w:rPr>
        <w:t xml:space="preserve"> </w:t>
      </w:r>
      <w:r w:rsidR="001E3073">
        <w:rPr>
          <w:rFonts w:asciiTheme="minorHAnsi" w:hAnsiTheme="minorHAnsi" w:cstheme="minorHAnsi"/>
        </w:rPr>
        <w:t>g</w:t>
      </w:r>
      <w:r w:rsidR="00540E55" w:rsidRPr="00540E55">
        <w:rPr>
          <w:rFonts w:asciiTheme="minorHAnsi" w:hAnsiTheme="minorHAnsi" w:cstheme="minorHAnsi"/>
        </w:rPr>
        <w:t>overnment</w:t>
      </w:r>
      <w:r w:rsidR="001E3073">
        <w:rPr>
          <w:rFonts w:asciiTheme="minorHAnsi" w:hAnsiTheme="minorHAnsi" w:cstheme="minorHAnsi"/>
        </w:rPr>
        <w:t>s</w:t>
      </w:r>
      <w:r w:rsidR="00540E55" w:rsidRPr="00540E55">
        <w:rPr>
          <w:rFonts w:asciiTheme="minorHAnsi" w:hAnsiTheme="minorHAnsi" w:cstheme="minorHAnsi"/>
        </w:rPr>
        <w:t xml:space="preserve"> ha</w:t>
      </w:r>
      <w:r w:rsidR="001E3073">
        <w:rPr>
          <w:rFonts w:asciiTheme="minorHAnsi" w:hAnsiTheme="minorHAnsi" w:cstheme="minorHAnsi"/>
        </w:rPr>
        <w:t>ve</w:t>
      </w:r>
      <w:r w:rsidR="00540E55" w:rsidRPr="00540E55">
        <w:rPr>
          <w:rFonts w:asciiTheme="minorHAnsi" w:hAnsiTheme="minorHAnsi" w:cstheme="minorHAnsi"/>
        </w:rPr>
        <w:t xml:space="preserve"> a responsibility to act</w:t>
      </w:r>
      <w:r w:rsidR="00367E01">
        <w:rPr>
          <w:rFonts w:asciiTheme="minorHAnsi" w:hAnsiTheme="minorHAnsi" w:cstheme="minorHAnsi"/>
        </w:rPr>
        <w:t xml:space="preserve">, with </w:t>
      </w:r>
      <w:r w:rsidR="00540E55" w:rsidRPr="00540E55">
        <w:rPr>
          <w:rFonts w:asciiTheme="minorHAnsi" w:hAnsiTheme="minorHAnsi" w:cstheme="minorHAnsi"/>
        </w:rPr>
        <w:t xml:space="preserve">80% </w:t>
      </w:r>
      <w:r w:rsidR="00367E01">
        <w:rPr>
          <w:rFonts w:asciiTheme="minorHAnsi" w:hAnsiTheme="minorHAnsi" w:cstheme="minorHAnsi"/>
        </w:rPr>
        <w:t xml:space="preserve">of people with disabilities in NSW </w:t>
      </w:r>
      <w:r w:rsidR="00540E55" w:rsidRPr="00540E55">
        <w:rPr>
          <w:rFonts w:asciiTheme="minorHAnsi" w:hAnsiTheme="minorHAnsi" w:cstheme="minorHAnsi"/>
        </w:rPr>
        <w:t>indicat</w:t>
      </w:r>
      <w:r w:rsidR="00367E01">
        <w:rPr>
          <w:rFonts w:asciiTheme="minorHAnsi" w:hAnsiTheme="minorHAnsi" w:cstheme="minorHAnsi"/>
        </w:rPr>
        <w:t>ing</w:t>
      </w:r>
      <w:r w:rsidR="00540E55" w:rsidRPr="00540E55">
        <w:rPr>
          <w:rFonts w:asciiTheme="minorHAnsi" w:hAnsiTheme="minorHAnsi" w:cstheme="minorHAnsi"/>
        </w:rPr>
        <w:t xml:space="preserve"> they would be more likely to support a political party that commits to funding foundational supports</w:t>
      </w:r>
      <w:r w:rsidR="00367E01">
        <w:rPr>
          <w:rFonts w:asciiTheme="minorHAnsi" w:hAnsiTheme="minorHAnsi" w:cstheme="minorHAnsi"/>
        </w:rPr>
        <w:t xml:space="preserve">, </w:t>
      </w:r>
      <w:r w:rsidR="00540E55" w:rsidRPr="00540E55">
        <w:rPr>
          <w:rFonts w:asciiTheme="minorHAnsi" w:hAnsiTheme="minorHAnsi" w:cstheme="minorHAnsi"/>
        </w:rPr>
        <w:t>demonstrating both strong community need and political urgency.</w:t>
      </w:r>
    </w:p>
    <w:p w14:paraId="46BCAA49" w14:textId="04F4E784" w:rsidR="00540E55" w:rsidRPr="00540E55" w:rsidRDefault="00540E55" w:rsidP="00540E55">
      <w:pPr>
        <w:rPr>
          <w:rFonts w:asciiTheme="minorHAnsi" w:hAnsiTheme="minorHAnsi" w:cstheme="minorHAnsi"/>
        </w:rPr>
      </w:pPr>
      <w:r w:rsidRPr="00540E55">
        <w:rPr>
          <w:rFonts w:asciiTheme="minorHAnsi" w:hAnsiTheme="minorHAnsi" w:cstheme="minorHAnsi"/>
        </w:rPr>
        <w:t xml:space="preserve">This submission outlines the most pressing service gaps, especially for people with physical disabilities, and puts forward </w:t>
      </w:r>
      <w:r w:rsidR="00724F7E">
        <w:rPr>
          <w:rFonts w:asciiTheme="minorHAnsi" w:hAnsiTheme="minorHAnsi" w:cstheme="minorHAnsi"/>
        </w:rPr>
        <w:t>six</w:t>
      </w:r>
      <w:r w:rsidRPr="00540E55">
        <w:rPr>
          <w:rFonts w:asciiTheme="minorHAnsi" w:hAnsiTheme="minorHAnsi" w:cstheme="minorHAnsi"/>
        </w:rPr>
        <w:t xml:space="preserve"> recommendations focused on equity, co-design, workforce development, </w:t>
      </w:r>
      <w:r w:rsidR="006E4305">
        <w:rPr>
          <w:rFonts w:asciiTheme="minorHAnsi" w:hAnsiTheme="minorHAnsi" w:cstheme="minorHAnsi"/>
        </w:rPr>
        <w:t xml:space="preserve">and expanding the scope of what is meant by </w:t>
      </w:r>
      <w:r w:rsidRPr="00540E55">
        <w:rPr>
          <w:rFonts w:asciiTheme="minorHAnsi" w:hAnsiTheme="minorHAnsi" w:cstheme="minorHAnsi"/>
        </w:rPr>
        <w:t>early intervention</w:t>
      </w:r>
      <w:r w:rsidR="006E4305">
        <w:rPr>
          <w:rFonts w:asciiTheme="minorHAnsi" w:hAnsiTheme="minorHAnsi" w:cstheme="minorHAnsi"/>
        </w:rPr>
        <w:t xml:space="preserve"> to include adults with disabilities. </w:t>
      </w:r>
      <w:r w:rsidRPr="00540E55">
        <w:rPr>
          <w:rFonts w:asciiTheme="minorHAnsi" w:hAnsiTheme="minorHAnsi" w:cstheme="minorHAnsi"/>
        </w:rPr>
        <w:t>The NSW Government must act swiftly</w:t>
      </w:r>
      <w:r w:rsidR="00670DC8">
        <w:rPr>
          <w:rFonts w:asciiTheme="minorHAnsi" w:hAnsiTheme="minorHAnsi" w:cstheme="minorHAnsi"/>
        </w:rPr>
        <w:t xml:space="preserve">, </w:t>
      </w:r>
      <w:r w:rsidRPr="00540E55">
        <w:rPr>
          <w:rFonts w:asciiTheme="minorHAnsi" w:hAnsiTheme="minorHAnsi" w:cstheme="minorHAnsi"/>
        </w:rPr>
        <w:t>working with other governments and disability advocacy organisations</w:t>
      </w:r>
      <w:r w:rsidR="00670DC8">
        <w:rPr>
          <w:rFonts w:asciiTheme="minorHAnsi" w:hAnsiTheme="minorHAnsi" w:cstheme="minorHAnsi"/>
        </w:rPr>
        <w:t xml:space="preserve">, </w:t>
      </w:r>
      <w:r w:rsidRPr="00540E55">
        <w:rPr>
          <w:rFonts w:asciiTheme="minorHAnsi" w:hAnsiTheme="minorHAnsi" w:cstheme="minorHAnsi"/>
        </w:rPr>
        <w:t>to implement foundational supports, as recommended in the NDIS Review, and ensure the entire disability ecosystem is strengthened, not just the scheme itself.</w:t>
      </w:r>
    </w:p>
    <w:p w14:paraId="47393841" w14:textId="77777777" w:rsidR="00540E55" w:rsidRPr="00540E55" w:rsidRDefault="00540E55" w:rsidP="00540E55"/>
    <w:p w14:paraId="09C7CBDC" w14:textId="77777777" w:rsidR="00B2202F" w:rsidRDefault="00B2202F" w:rsidP="00E3156F">
      <w:pPr>
        <w:pStyle w:val="Heading1"/>
        <w:rPr>
          <w:rFonts w:asciiTheme="minorHAnsi" w:hAnsiTheme="minorHAnsi" w:cstheme="minorHAnsi"/>
        </w:rPr>
      </w:pPr>
    </w:p>
    <w:p w14:paraId="312E7328" w14:textId="77777777" w:rsidR="00C513D0" w:rsidRDefault="00C513D0" w:rsidP="00C513D0"/>
    <w:p w14:paraId="70B96452" w14:textId="77777777" w:rsidR="00C513D0" w:rsidRDefault="00C513D0" w:rsidP="00C513D0"/>
    <w:p w14:paraId="2FF53286" w14:textId="77777777" w:rsidR="00C513D0" w:rsidRDefault="00C513D0" w:rsidP="00C513D0"/>
    <w:p w14:paraId="5166FFB1" w14:textId="77777777" w:rsidR="00C513D0" w:rsidRPr="00C513D0" w:rsidRDefault="00C513D0" w:rsidP="00C513D0"/>
    <w:p w14:paraId="4E660E73" w14:textId="77777777" w:rsidR="009A5C2F" w:rsidRPr="00D76596" w:rsidRDefault="009A5C2F" w:rsidP="00A74DB2">
      <w:pPr>
        <w:pStyle w:val="Heading1"/>
        <w:rPr>
          <w:rFonts w:asciiTheme="minorHAnsi" w:hAnsiTheme="minorHAnsi" w:cstheme="minorHAnsi"/>
        </w:rPr>
      </w:pPr>
      <w:bookmarkStart w:id="5" w:name="_Toc198202087"/>
      <w:r w:rsidRPr="00D76596">
        <w:rPr>
          <w:rFonts w:asciiTheme="minorHAnsi" w:hAnsiTheme="minorHAnsi" w:cstheme="minorHAnsi"/>
        </w:rPr>
        <w:t>Recommendations on Foundational Supports</w:t>
      </w:r>
      <w:bookmarkEnd w:id="5"/>
    </w:p>
    <w:p w14:paraId="3C453582" w14:textId="77777777" w:rsidR="009A5C2F" w:rsidRPr="000D7CC2" w:rsidRDefault="009A5C2F" w:rsidP="00A74DB2">
      <w:pPr>
        <w:pStyle w:val="Heading2"/>
        <w:rPr>
          <w:b/>
          <w:bCs/>
        </w:rPr>
      </w:pPr>
      <w:r w:rsidRPr="000D7CC2">
        <w:rPr>
          <w:b/>
          <w:bCs/>
        </w:rPr>
        <w:t xml:space="preserve"> </w:t>
      </w:r>
    </w:p>
    <w:bookmarkStart w:id="6" w:name="_Toc198202088" w:displacedByCustomXml="next"/>
    <w:sdt>
      <w:sdtPr>
        <w:rPr>
          <w:rFonts w:eastAsiaTheme="minorHAnsi" w:cstheme="minorBidi"/>
          <w:b/>
          <w:i/>
          <w:color w:val="232157"/>
          <w:sz w:val="22"/>
          <w:szCs w:val="22"/>
        </w:rPr>
        <w:id w:val="1074402936"/>
        <w:placeholder>
          <w:docPart w:val="6691DE8920464341AEF47ADAE73C9F04"/>
        </w:placeholder>
      </w:sdtPr>
      <w:sdtEndPr>
        <w:rPr>
          <w:rStyle w:val="Heading2Char"/>
          <w:rFonts w:asciiTheme="minorHAnsi" w:eastAsiaTheme="majorEastAsia" w:hAnsiTheme="minorHAnsi" w:cstheme="majorBidi"/>
          <w:color w:val="2C4390"/>
          <w:sz w:val="26"/>
          <w:szCs w:val="26"/>
        </w:rPr>
      </w:sdtEndPr>
      <w:sdtContent>
        <w:p w14:paraId="46228D00" w14:textId="77777777" w:rsidR="009A5C2F" w:rsidRPr="000D7CC2" w:rsidRDefault="009A5C2F" w:rsidP="00A74DB2">
          <w:pPr>
            <w:pStyle w:val="Heading2"/>
            <w:rPr>
              <w:rStyle w:val="Heading2Char"/>
            </w:rPr>
          </w:pPr>
          <w:r w:rsidRPr="000D7CC2">
            <w:rPr>
              <w:rStyle w:val="Heading2Char"/>
              <w:b/>
            </w:rPr>
            <w:t>Recommendation 1: Foundational supports must be equitably available across the four key disability cohorts—physical, intellectual, psychosocial, and neurodiverse.</w:t>
          </w:r>
          <w:bookmarkEnd w:id="6"/>
          <w:r w:rsidRPr="000D7CC2">
            <w:rPr>
              <w:rStyle w:val="Heading2Char"/>
              <w:b/>
            </w:rPr>
            <w:t xml:space="preserve"> </w:t>
          </w:r>
        </w:p>
        <w:p w14:paraId="36880B7F" w14:textId="77777777" w:rsidR="009A5C2F" w:rsidRPr="00D76596" w:rsidRDefault="00367E01" w:rsidP="00A74DB2">
          <w:pPr>
            <w:pStyle w:val="RecTitle"/>
            <w:rPr>
              <w:rStyle w:val="Heading2Char"/>
              <w:rFonts w:asciiTheme="minorHAnsi" w:hAnsiTheme="minorHAnsi" w:cstheme="minorHAnsi"/>
              <w:i w:val="0"/>
              <w:iCs/>
            </w:rPr>
          </w:pPr>
        </w:p>
      </w:sdtContent>
    </w:sdt>
    <w:sdt>
      <w:sdtPr>
        <w:rPr>
          <w:rFonts w:asciiTheme="minorHAnsi" w:eastAsiaTheme="majorEastAsia" w:hAnsiTheme="minorHAnsi" w:cstheme="majorBidi"/>
          <w:color w:val="2C4390"/>
          <w:sz w:val="26"/>
          <w:szCs w:val="26"/>
        </w:rPr>
        <w:id w:val="1423382317"/>
        <w:placeholder>
          <w:docPart w:val="6AC4E6FAA81D4F8399949BE791BE42A3"/>
        </w:placeholder>
      </w:sdtPr>
      <w:sdtEndPr>
        <w:rPr>
          <w:i w:val="0"/>
        </w:rPr>
      </w:sdtEndPr>
      <w:sdtContent>
        <w:p w14:paraId="1C2DE074" w14:textId="6E81A2F2" w:rsidR="009A5C2F" w:rsidRDefault="009A5C2F" w:rsidP="00A74DB2">
          <w:pPr>
            <w:pStyle w:val="RecBody"/>
            <w:rPr>
              <w:rFonts w:asciiTheme="minorHAnsi" w:hAnsiTheme="minorHAnsi" w:cstheme="minorHAnsi"/>
              <w:i w:val="0"/>
              <w:iCs/>
            </w:rPr>
          </w:pPr>
          <w:r w:rsidRPr="00D76596">
            <w:rPr>
              <w:rFonts w:asciiTheme="minorHAnsi" w:hAnsiTheme="minorHAnsi" w:cstheme="minorHAnsi"/>
              <w:i w:val="0"/>
              <w:iCs/>
            </w:rPr>
            <w:t>PDCN is concerned that physical disability is not a focus for the Government, despite 75.3% of people with disabilities in Australia reporting a physical disability as their main condition</w:t>
          </w:r>
          <w:r w:rsidRPr="00D76596">
            <w:rPr>
              <w:rStyle w:val="FootnoteReference"/>
              <w:rFonts w:asciiTheme="minorHAnsi" w:hAnsiTheme="minorHAnsi" w:cstheme="minorHAnsi"/>
              <w:i w:val="0"/>
              <w:iCs/>
            </w:rPr>
            <w:footnoteReference w:id="2"/>
          </w:r>
          <w:r w:rsidRPr="00D76596">
            <w:rPr>
              <w:rFonts w:asciiTheme="minorHAnsi" w:hAnsiTheme="minorHAnsi" w:cstheme="minorHAnsi"/>
              <w:i w:val="0"/>
              <w:iCs/>
            </w:rPr>
            <w:t>. Many people with physical disabilities struggle to access the NDIS. Foundational supports need to address the needs of people with physical disabilities</w:t>
          </w:r>
          <w:r w:rsidR="00B56EEC">
            <w:rPr>
              <w:rFonts w:asciiTheme="minorHAnsi" w:hAnsiTheme="minorHAnsi" w:cstheme="minorHAnsi"/>
              <w:i w:val="0"/>
              <w:iCs/>
            </w:rPr>
            <w:t>, including children and young people with disabilities</w:t>
          </w:r>
          <w:r w:rsidRPr="00D76596">
            <w:rPr>
              <w:rFonts w:asciiTheme="minorHAnsi" w:hAnsiTheme="minorHAnsi" w:cstheme="minorHAnsi"/>
              <w:i w:val="0"/>
              <w:iCs/>
            </w:rPr>
            <w:t xml:space="preserve">. </w:t>
          </w:r>
        </w:p>
        <w:p w14:paraId="27088966" w14:textId="77777777" w:rsidR="009A5C2F" w:rsidRDefault="009A5C2F" w:rsidP="00A74DB2">
          <w:pPr>
            <w:pStyle w:val="RecBody"/>
            <w:rPr>
              <w:rFonts w:asciiTheme="minorHAnsi" w:hAnsiTheme="minorHAnsi" w:cstheme="minorHAnsi"/>
              <w:i w:val="0"/>
              <w:iCs/>
            </w:rPr>
          </w:pPr>
        </w:p>
        <w:p w14:paraId="0D8BDDEF" w14:textId="00B936B7" w:rsidR="009A5C2F" w:rsidRPr="00D76596" w:rsidRDefault="009A5C2F" w:rsidP="00A74DB2">
          <w:pPr>
            <w:pStyle w:val="RecBody"/>
            <w:rPr>
              <w:rFonts w:asciiTheme="minorHAnsi" w:hAnsiTheme="minorHAnsi" w:cstheme="minorHAnsi"/>
              <w:i w:val="0"/>
              <w:iCs/>
            </w:rPr>
          </w:pPr>
          <w:r w:rsidRPr="00D76596">
            <w:rPr>
              <w:rFonts w:asciiTheme="minorHAnsi" w:hAnsiTheme="minorHAnsi" w:cstheme="minorHAnsi"/>
              <w:i w:val="0"/>
              <w:iCs/>
            </w:rPr>
            <w:t xml:space="preserve">When developing and implementing general supports, </w:t>
          </w:r>
          <w:r w:rsidR="00F67058">
            <w:rPr>
              <w:rFonts w:asciiTheme="minorHAnsi" w:hAnsiTheme="minorHAnsi" w:cstheme="minorHAnsi"/>
              <w:i w:val="0"/>
              <w:iCs/>
            </w:rPr>
            <w:t xml:space="preserve">governments must </w:t>
          </w:r>
          <w:r w:rsidRPr="00D76596">
            <w:rPr>
              <w:rFonts w:asciiTheme="minorHAnsi" w:hAnsiTheme="minorHAnsi" w:cstheme="minorHAnsi"/>
              <w:i w:val="0"/>
              <w:iCs/>
            </w:rPr>
            <w:t>consider the life stages of an individual from birth to old age and the journey of disability for an individual. This involves whether a disability is temporary, dynamic, or permanent, functional ability, whether a disability is from birth or acquired and when someone has multiple disabilities.</w:t>
          </w:r>
        </w:p>
      </w:sdtContent>
    </w:sdt>
    <w:p w14:paraId="49CDBF10" w14:textId="77777777" w:rsidR="009A5C2F" w:rsidRPr="00D76596" w:rsidRDefault="009A5C2F" w:rsidP="00A74DB2">
      <w:pPr>
        <w:pStyle w:val="RecBody"/>
        <w:rPr>
          <w:rFonts w:asciiTheme="minorHAnsi" w:hAnsiTheme="minorHAnsi" w:cstheme="minorHAnsi"/>
          <w:i w:val="0"/>
          <w:iCs/>
        </w:rPr>
      </w:pPr>
    </w:p>
    <w:p w14:paraId="4EB2623E" w14:textId="77777777" w:rsidR="0097007B" w:rsidRPr="000D7CC2" w:rsidRDefault="00367E01" w:rsidP="00A74DB2">
      <w:pPr>
        <w:pStyle w:val="RecTitle"/>
        <w:rPr>
          <w:rStyle w:val="Heading2Char"/>
          <w:i w:val="0"/>
          <w:iCs/>
        </w:rPr>
      </w:pPr>
      <w:sdt>
        <w:sdtPr>
          <w:rPr>
            <w:rFonts w:asciiTheme="minorHAnsi" w:eastAsiaTheme="majorEastAsia" w:hAnsiTheme="minorHAnsi" w:cstheme="majorBidi"/>
            <w:i w:val="0"/>
            <w:color w:val="2C4390"/>
            <w:sz w:val="26"/>
            <w:szCs w:val="26"/>
          </w:rPr>
          <w:id w:val="1701669241"/>
          <w:placeholder>
            <w:docPart w:val="22B54D257B334E2180D768855ABDE2F9"/>
          </w:placeholder>
        </w:sdtPr>
        <w:sdtEndPr>
          <w:rPr>
            <w:rStyle w:val="Heading2Char"/>
            <w:rFonts w:ascii="Myriad Pro" w:hAnsi="Myriad Pro"/>
            <w:iCs/>
          </w:rPr>
        </w:sdtEndPr>
        <w:sdtContent>
          <w:r w:rsidR="0097007B" w:rsidRPr="000D7CC2">
            <w:rPr>
              <w:rStyle w:val="Heading2Char"/>
              <w:i w:val="0"/>
              <w:iCs/>
            </w:rPr>
            <w:t>Recommendation 2: Foundational supports must be co-designed with people with disability, their families, and disability advocacy organisations.</w:t>
          </w:r>
        </w:sdtContent>
      </w:sdt>
    </w:p>
    <w:sdt>
      <w:sdtPr>
        <w:rPr>
          <w:rFonts w:asciiTheme="minorHAnsi" w:hAnsiTheme="minorHAnsi"/>
          <w:b w:val="0"/>
          <w:color w:val="auto"/>
        </w:rPr>
        <w:id w:val="-1706638252"/>
        <w:placeholder>
          <w:docPart w:val="AF0D0547A6F04068906AB7FEC4DCA410"/>
        </w:placeholder>
      </w:sdtPr>
      <w:sdtEndPr>
        <w:rPr>
          <w:rFonts w:cstheme="minorHAnsi"/>
          <w:i w:val="0"/>
        </w:rPr>
      </w:sdtEndPr>
      <w:sdtContent>
        <w:p w14:paraId="07A99704" w14:textId="2165852A" w:rsidR="0097007B" w:rsidRDefault="0097007B" w:rsidP="00A74DB2">
          <w:pPr>
            <w:pStyle w:val="RecTitle"/>
            <w:rPr>
              <w:rFonts w:asciiTheme="minorHAnsi" w:hAnsiTheme="minorHAnsi"/>
            </w:rPr>
          </w:pPr>
        </w:p>
        <w:p w14:paraId="0E2D001C" w14:textId="0F448371" w:rsidR="009A5C2F" w:rsidRPr="00285FAF" w:rsidRDefault="007E7FAC" w:rsidP="00285FAF">
          <w:pPr>
            <w:pStyle w:val="RecBody"/>
            <w:rPr>
              <w:rFonts w:asciiTheme="minorHAnsi" w:hAnsiTheme="minorHAnsi" w:cstheme="minorHAnsi"/>
              <w:i w:val="0"/>
            </w:rPr>
          </w:pPr>
          <w:r w:rsidRPr="00285FAF">
            <w:rPr>
              <w:rFonts w:asciiTheme="minorHAnsi" w:hAnsiTheme="minorHAnsi" w:cstheme="minorHAnsi"/>
              <w:i w:val="0"/>
            </w:rPr>
            <w:t>All foundational supports should be co-designed</w:t>
          </w:r>
          <w:r w:rsidR="00F67058" w:rsidRPr="00285FAF">
            <w:rPr>
              <w:rFonts w:asciiTheme="minorHAnsi" w:hAnsiTheme="minorHAnsi" w:cstheme="minorHAnsi"/>
              <w:i w:val="0"/>
            </w:rPr>
            <w:t xml:space="preserve"> with people with disabilities and their families</w:t>
          </w:r>
          <w:r w:rsidRPr="00285FAF">
            <w:rPr>
              <w:rFonts w:asciiTheme="minorHAnsi" w:hAnsiTheme="minorHAnsi" w:cstheme="minorHAnsi"/>
              <w:i w:val="0"/>
            </w:rPr>
            <w:t xml:space="preserve"> to ensure they are fit for purpose, sustainable, and trusted. Establishing advisory panels at both state and regional levels will help guide the development and continuous improvement of services. A collaborative approach will not only ensure supports meet real </w:t>
          </w:r>
          <w:r w:rsidR="0097007B" w:rsidRPr="00285FAF">
            <w:rPr>
              <w:rFonts w:asciiTheme="minorHAnsi" w:hAnsiTheme="minorHAnsi" w:cstheme="minorHAnsi"/>
              <w:i w:val="0"/>
            </w:rPr>
            <w:t>needs but</w:t>
          </w:r>
          <w:r w:rsidRPr="00285FAF">
            <w:rPr>
              <w:rFonts w:asciiTheme="minorHAnsi" w:hAnsiTheme="minorHAnsi" w:cstheme="minorHAnsi"/>
              <w:i w:val="0"/>
            </w:rPr>
            <w:t xml:space="preserve"> also foster trust in the system and improve the sustainability and cost-effectiveness of services.</w:t>
          </w:r>
        </w:p>
      </w:sdtContent>
    </w:sdt>
    <w:p w14:paraId="6F69DFA7" w14:textId="77777777" w:rsidR="009A5C2F" w:rsidRPr="00D76596" w:rsidRDefault="009A5C2F" w:rsidP="00A74DB2">
      <w:pPr>
        <w:pStyle w:val="RecBody"/>
        <w:rPr>
          <w:rFonts w:asciiTheme="minorHAnsi" w:hAnsiTheme="minorHAnsi" w:cstheme="minorHAnsi"/>
        </w:rPr>
      </w:pPr>
    </w:p>
    <w:bookmarkStart w:id="7" w:name="_Toc198202089" w:displacedByCustomXml="next"/>
    <w:sdt>
      <w:sdtPr>
        <w:rPr>
          <w:rFonts w:asciiTheme="minorHAnsi" w:eastAsiaTheme="minorEastAsia" w:hAnsiTheme="minorHAnsi" w:cstheme="minorBidi"/>
          <w:b/>
          <w:bCs/>
          <w:i/>
          <w:iCs/>
          <w:color w:val="232157"/>
          <w:sz w:val="22"/>
          <w:szCs w:val="22"/>
        </w:rPr>
        <w:id w:val="1053656346"/>
        <w:placeholder>
          <w:docPart w:val="B999B2C2237F4B238037F16E0706C0B4"/>
        </w:placeholder>
      </w:sdtPr>
      <w:sdtEndPr>
        <w:rPr>
          <w:rStyle w:val="Heading2Char"/>
          <w:rFonts w:ascii="Myriad Pro" w:eastAsiaTheme="majorEastAsia" w:hAnsi="Myriad Pro" w:cstheme="majorBidi"/>
          <w:bCs w:val="0"/>
          <w:i w:val="0"/>
          <w:iCs w:val="0"/>
          <w:color w:val="2C4390"/>
          <w:sz w:val="26"/>
          <w:szCs w:val="26"/>
        </w:rPr>
      </w:sdtEndPr>
      <w:sdtContent>
        <w:bookmarkEnd w:id="7" w:displacedByCustomXml="next"/>
        <w:sdt>
          <w:sdtPr>
            <w:rPr>
              <w:rFonts w:asciiTheme="minorHAnsi" w:hAnsiTheme="minorHAnsi" w:cstheme="minorBidi"/>
              <w:b/>
              <w:bCs/>
            </w:rPr>
            <w:id w:val="-1596933934"/>
            <w:placeholder>
              <w:docPart w:val="FE1BABCBDA484E8BBE4F76FF78404A5B"/>
            </w:placeholder>
          </w:sdtPr>
          <w:sdtEndPr>
            <w:rPr>
              <w:rStyle w:val="Heading2Char"/>
              <w:rFonts w:ascii="Myriad Pro" w:hAnsi="Myriad Pro" w:cstheme="majorBidi"/>
              <w:bCs w:val="0"/>
            </w:rPr>
          </w:sdtEndPr>
          <w:sdtContent>
            <w:p w14:paraId="4BB5ED52" w14:textId="77777777" w:rsidR="009A5C2F" w:rsidRPr="00075369" w:rsidRDefault="009A5C2F" w:rsidP="00A74DB2">
              <w:pPr>
                <w:pStyle w:val="Heading2"/>
                <w:rPr>
                  <w:rStyle w:val="Heading2Char"/>
                  <w:b/>
                </w:rPr>
              </w:pPr>
              <w:r w:rsidRPr="00075369">
                <w:rPr>
                  <w:rStyle w:val="Heading2Char"/>
                  <w:b/>
                </w:rPr>
                <w:t>Recommendation 3: Extend early intervention supports to adults with acquired or progressive disability to maximise recovery and inclusion across all life stages.</w:t>
              </w:r>
            </w:p>
          </w:sdtContent>
        </w:sdt>
        <w:sdt>
          <w:sdtPr>
            <w:rPr>
              <w:rFonts w:asciiTheme="minorHAnsi" w:eastAsiaTheme="majorEastAsia" w:hAnsiTheme="minorHAnsi"/>
              <w:b/>
              <w:bCs/>
              <w:i/>
              <w:iCs/>
              <w:color w:val="2C4390"/>
              <w:sz w:val="26"/>
              <w:szCs w:val="26"/>
            </w:rPr>
            <w:id w:val="-1122068996"/>
            <w:placeholder>
              <w:docPart w:val="31D66D9155A249BAB1E646FEE4A8D5E6"/>
            </w:placeholder>
          </w:sdtPr>
          <w:sdtEndPr>
            <w:rPr>
              <w:b w:val="0"/>
              <w:i w:val="0"/>
              <w:color w:val="auto"/>
            </w:rPr>
          </w:sdtEndPr>
          <w:sdtContent>
            <w:p w14:paraId="13381B7C" w14:textId="65EF738D" w:rsidR="009A5C2F" w:rsidRPr="00D76596" w:rsidRDefault="009A5C2F" w:rsidP="00A74DB2">
              <w:pPr>
                <w:tabs>
                  <w:tab w:val="left" w:pos="788"/>
                </w:tabs>
                <w:spacing w:after="0" w:line="240" w:lineRule="auto"/>
                <w:rPr>
                  <w:rFonts w:asciiTheme="minorHAnsi" w:hAnsiTheme="minorHAnsi"/>
                </w:rPr>
              </w:pPr>
            </w:p>
            <w:sdt>
              <w:sdtPr>
                <w:rPr>
                  <w:rFonts w:asciiTheme="minorHAnsi" w:eastAsiaTheme="majorEastAsia" w:hAnsiTheme="minorHAnsi"/>
                  <w:b/>
                  <w:bCs/>
                  <w:i/>
                  <w:iCs/>
                  <w:color w:val="2C4390"/>
                  <w:sz w:val="26"/>
                  <w:szCs w:val="26"/>
                </w:rPr>
                <w:id w:val="488525390"/>
                <w:placeholder>
                  <w:docPart w:val="1629E1DB876B42C59B9DACA3ED631BD6"/>
                </w:placeholder>
              </w:sdtPr>
              <w:sdtEndPr>
                <w:rPr>
                  <w:b w:val="0"/>
                  <w:i w:val="0"/>
                  <w:color w:val="auto"/>
                </w:rPr>
              </w:sdtEndPr>
              <w:sdtContent>
                <w:p w14:paraId="5DB7DFEE" w14:textId="0CCDC2D2" w:rsidR="000A47AD" w:rsidRPr="00075369" w:rsidRDefault="000A47AD" w:rsidP="00075369">
                  <w:pPr>
                    <w:spacing w:after="0" w:line="240" w:lineRule="auto"/>
                    <w:rPr>
                      <w:rFonts w:asciiTheme="minorHAnsi" w:hAnsiTheme="minorHAnsi" w:cstheme="minorHAnsi"/>
                    </w:rPr>
                  </w:pPr>
                  <w:r w:rsidRPr="00285FAF">
                    <w:rPr>
                      <w:rFonts w:asciiTheme="minorHAnsi" w:hAnsiTheme="minorHAnsi" w:cstheme="minorHAnsi"/>
                    </w:rPr>
                    <w:t xml:space="preserve">Early intervention is a key principle guiding decision making about supports provision. However, we propose that early intervention is not only applicable to children. The principle of early intervention can also be applied to </w:t>
                  </w:r>
                  <w:r w:rsidR="00803450" w:rsidRPr="00285FAF">
                    <w:rPr>
                      <w:rFonts w:asciiTheme="minorHAnsi" w:hAnsiTheme="minorHAnsi" w:cstheme="minorHAnsi"/>
                    </w:rPr>
                    <w:t>adults</w:t>
                  </w:r>
                  <w:r w:rsidRPr="00285FAF">
                    <w:rPr>
                      <w:rFonts w:asciiTheme="minorHAnsi" w:hAnsiTheme="minorHAnsi" w:cstheme="minorHAnsi"/>
                    </w:rPr>
                    <w:t xml:space="preserve"> as a way of enhancing and accelerating recovery from sudden illness or injury e.g. stroke and degenerative conditions. It is important that people who have acquired disability later in life have access to adequate and early supports to optimise recovery which will also reduce the need for further supports down the line for some people and </w:t>
                  </w:r>
                  <w:r w:rsidR="00195777" w:rsidRPr="00285FAF">
                    <w:rPr>
                      <w:rFonts w:asciiTheme="minorHAnsi" w:hAnsiTheme="minorHAnsi" w:cstheme="minorHAnsi"/>
                    </w:rPr>
                    <w:t>improve the recovery experience for the patient.</w:t>
                  </w:r>
                </w:p>
              </w:sdtContent>
            </w:sdt>
          </w:sdtContent>
        </w:sdt>
        <w:p w14:paraId="65A1E305" w14:textId="7D65DA34" w:rsidR="000A47AD" w:rsidRDefault="000A47AD" w:rsidP="00A74DB2">
          <w:pPr>
            <w:pStyle w:val="Question"/>
          </w:pPr>
        </w:p>
        <w:p w14:paraId="673F7A8B" w14:textId="78ABD752" w:rsidR="009A5C2F" w:rsidRPr="00075369" w:rsidRDefault="009A5C2F" w:rsidP="00075369">
          <w:pPr>
            <w:pStyle w:val="Heading2"/>
            <w:rPr>
              <w:rStyle w:val="Heading2Char"/>
              <w:b/>
            </w:rPr>
          </w:pPr>
          <w:bookmarkStart w:id="8" w:name="_Toc198202090"/>
          <w:r w:rsidRPr="00075369">
            <w:rPr>
              <w:rStyle w:val="Heading2Char"/>
              <w:b/>
            </w:rPr>
            <w:t xml:space="preserve">Recommendation </w:t>
          </w:r>
          <w:r w:rsidR="0097007B" w:rsidRPr="00075369">
            <w:rPr>
              <w:rStyle w:val="Heading2Char"/>
              <w:b/>
            </w:rPr>
            <w:t>4</w:t>
          </w:r>
          <w:r w:rsidRPr="00075369">
            <w:rPr>
              <w:rStyle w:val="Heading2Char"/>
              <w:b/>
            </w:rPr>
            <w:t>:</w:t>
          </w:r>
          <w:bookmarkEnd w:id="8"/>
          <w:r w:rsidRPr="00075369">
            <w:rPr>
              <w:rStyle w:val="Heading2Char"/>
              <w:b/>
            </w:rPr>
            <w:t xml:space="preserve"> Professionalise Linkers/Navigators and disability support workers through regulated education and training.</w:t>
          </w:r>
        </w:p>
      </w:sdtContent>
    </w:sdt>
    <w:sdt>
      <w:sdtPr>
        <w:rPr>
          <w:rFonts w:asciiTheme="minorHAnsi" w:hAnsiTheme="minorHAnsi"/>
        </w:rPr>
        <w:id w:val="1420449384"/>
        <w:placeholder>
          <w:docPart w:val="BCD709980E964A0A95A15BAFD2BB31E2"/>
        </w:placeholder>
      </w:sdtPr>
      <w:sdtEndPr/>
      <w:sdtContent>
        <w:p w14:paraId="2032AA3F" w14:textId="77777777" w:rsidR="00A74DB2" w:rsidRDefault="009A5C2F" w:rsidP="00A74DB2">
          <w:pPr>
            <w:pStyle w:val="RecBody"/>
            <w:rPr>
              <w:rFonts w:asciiTheme="minorHAnsi" w:hAnsiTheme="minorHAnsi" w:cstheme="minorHAnsi"/>
              <w:i w:val="0"/>
              <w:iCs/>
              <w:lang w:val="en-US"/>
            </w:rPr>
          </w:pPr>
          <w:r>
            <w:rPr>
              <w:rFonts w:asciiTheme="minorHAnsi" w:hAnsiTheme="minorHAnsi" w:cstheme="minorHAnsi"/>
              <w:i w:val="0"/>
              <w:iCs/>
              <w:lang w:val="en-US"/>
            </w:rPr>
            <w:t xml:space="preserve"> </w:t>
          </w:r>
        </w:p>
        <w:p w14:paraId="7998D054" w14:textId="2E30C642" w:rsidR="0097124E" w:rsidRPr="003C1D9C" w:rsidRDefault="0097124E" w:rsidP="00A74DB2">
          <w:pPr>
            <w:pStyle w:val="RecBody"/>
            <w:rPr>
              <w:rFonts w:asciiTheme="minorHAnsi" w:hAnsiTheme="minorHAnsi" w:cstheme="minorHAnsi"/>
              <w:i w:val="0"/>
              <w:iCs/>
              <w:lang w:val="en-US"/>
            </w:rPr>
          </w:pPr>
          <w:r w:rsidRPr="0097124E">
            <w:rPr>
              <w:rFonts w:asciiTheme="minorHAnsi" w:hAnsiTheme="minorHAnsi" w:cstheme="minorHAnsi"/>
              <w:i w:val="0"/>
            </w:rPr>
            <w:t>A Foundational Supports Navigator, as proposed in the 2023 NDIS Review, is a key role in helping people with disability access the full range of foundational, mainstream, and community supports outside the NDIS. These roles are especially vital for those not eligible for the NDIS or struggling to navigate complex service systems.</w:t>
          </w:r>
        </w:p>
        <w:p w14:paraId="1ACFF0CD" w14:textId="77777777" w:rsidR="00D25E2D" w:rsidRPr="0097124E" w:rsidRDefault="00D25E2D" w:rsidP="00A74DB2">
          <w:pPr>
            <w:pStyle w:val="RecBody"/>
            <w:rPr>
              <w:rFonts w:asciiTheme="minorHAnsi" w:hAnsiTheme="minorHAnsi" w:cstheme="minorHAnsi"/>
              <w:i w:val="0"/>
            </w:rPr>
          </w:pPr>
        </w:p>
        <w:p w14:paraId="767D1BB3" w14:textId="77777777" w:rsidR="0097124E" w:rsidRDefault="0097124E" w:rsidP="00A74DB2">
          <w:pPr>
            <w:pStyle w:val="RecBody"/>
            <w:rPr>
              <w:rFonts w:asciiTheme="minorHAnsi" w:hAnsiTheme="minorHAnsi" w:cstheme="minorHAnsi"/>
              <w:i w:val="0"/>
            </w:rPr>
          </w:pPr>
          <w:r w:rsidRPr="0097124E">
            <w:rPr>
              <w:rFonts w:asciiTheme="minorHAnsi" w:hAnsiTheme="minorHAnsi" w:cstheme="minorHAnsi"/>
              <w:i w:val="0"/>
            </w:rPr>
            <w:lastRenderedPageBreak/>
            <w:t>To be effective, Navigators must be qualified professionals, supported by mandatory and ongoing training, and governed by clear regulations and practice standards. This includes a formal qualification, regular professional development, and oversight mechanisms to ensure quality and consistency.</w:t>
          </w:r>
        </w:p>
        <w:p w14:paraId="0DE7C3F8" w14:textId="77777777" w:rsidR="00D25E2D" w:rsidRPr="0097124E" w:rsidRDefault="00D25E2D" w:rsidP="00A74DB2">
          <w:pPr>
            <w:pStyle w:val="RecBody"/>
            <w:rPr>
              <w:rFonts w:asciiTheme="minorHAnsi" w:hAnsiTheme="minorHAnsi" w:cstheme="minorHAnsi"/>
              <w:i w:val="0"/>
            </w:rPr>
          </w:pPr>
        </w:p>
        <w:p w14:paraId="17309889" w14:textId="7DA0877F" w:rsidR="0097124E" w:rsidRPr="00067F53" w:rsidRDefault="0097124E" w:rsidP="00A74DB2">
          <w:pPr>
            <w:pStyle w:val="RecBody"/>
            <w:rPr>
              <w:rFonts w:asciiTheme="minorHAnsi" w:hAnsiTheme="minorHAnsi" w:cstheme="minorHAnsi"/>
              <w:iCs/>
            </w:rPr>
          </w:pPr>
          <w:r w:rsidRPr="0097124E">
            <w:rPr>
              <w:rFonts w:asciiTheme="minorHAnsi" w:hAnsiTheme="minorHAnsi" w:cstheme="minorHAnsi"/>
              <w:i w:val="0"/>
            </w:rPr>
            <w:t>Navigators must also be equipped to support informed decision-making and provide person-centred guidance tailored to individual needs. Community feedback—particularly from people with physical disabilities—has raised concerns about current service gaps, unqualified staff, and fragmented access. Professionalising the workforce will address these concerns and improve trust, consistency, and service quality across the board, particularly in regional and remote communities where navigation challenges are often greater</w:t>
          </w:r>
          <w:r w:rsidRPr="0097124E">
            <w:rPr>
              <w:rFonts w:asciiTheme="minorHAnsi" w:hAnsiTheme="minorHAnsi" w:cstheme="minorHAnsi"/>
              <w:iCs/>
            </w:rPr>
            <w:t>.</w:t>
          </w:r>
        </w:p>
      </w:sdtContent>
    </w:sdt>
    <w:p w14:paraId="7A67C4DF" w14:textId="77777777" w:rsidR="009A5C2F" w:rsidRPr="00D76596" w:rsidRDefault="009A5C2F" w:rsidP="00A74DB2">
      <w:pPr>
        <w:pStyle w:val="Heading2"/>
        <w:rPr>
          <w:rFonts w:asciiTheme="minorHAnsi" w:hAnsiTheme="minorHAnsi" w:cstheme="minorHAnsi"/>
          <w:b/>
          <w:bCs/>
        </w:rPr>
      </w:pPr>
    </w:p>
    <w:bookmarkStart w:id="9" w:name="_Toc198202091"/>
    <w:p w14:paraId="127D6E92" w14:textId="39B6F7D5" w:rsidR="00A12DDC" w:rsidRPr="00960832" w:rsidRDefault="00367E01" w:rsidP="00A74DB2">
      <w:pPr>
        <w:pStyle w:val="Heading2"/>
        <w:rPr>
          <w:rStyle w:val="Heading2Char"/>
          <w:b/>
        </w:rPr>
      </w:pPr>
      <w:sdt>
        <w:sdtPr>
          <w:rPr>
            <w:rFonts w:asciiTheme="minorHAnsi" w:hAnsiTheme="minorHAnsi" w:cstheme="minorBidi"/>
            <w:b/>
            <w:bCs/>
          </w:rPr>
          <w:id w:val="609176163"/>
          <w:placeholder>
            <w:docPart w:val="3B79678F5DD2498EBB06756BC1DACAB9"/>
          </w:placeholder>
        </w:sdtPr>
        <w:sdtEndPr>
          <w:rPr>
            <w:rStyle w:val="Heading2Char"/>
            <w:rFonts w:ascii="Myriad Pro" w:hAnsi="Myriad Pro" w:cstheme="majorBidi"/>
            <w:bCs w:val="0"/>
          </w:rPr>
        </w:sdtEndPr>
        <w:sdtContent>
          <w:r w:rsidR="00334697" w:rsidRPr="00960832">
            <w:rPr>
              <w:rStyle w:val="Heading2Char"/>
              <w:b/>
            </w:rPr>
            <w:t xml:space="preserve">Recommendation </w:t>
          </w:r>
          <w:r w:rsidR="0097007B" w:rsidRPr="00960832">
            <w:rPr>
              <w:rStyle w:val="Heading2Char"/>
              <w:b/>
            </w:rPr>
            <w:t>5</w:t>
          </w:r>
          <w:r w:rsidR="00334697" w:rsidRPr="00960832">
            <w:rPr>
              <w:rStyle w:val="Heading2Char"/>
              <w:b/>
            </w:rPr>
            <w:t>: Establish integrated triage and navigation pathways across health, NDIS, foundational, and mainstream supports to ensure a seamless entry point and continuity of care.</w:t>
          </w:r>
        </w:sdtContent>
      </w:sdt>
      <w:bookmarkEnd w:id="9"/>
    </w:p>
    <w:p w14:paraId="13D6D2B5" w14:textId="77777777" w:rsidR="00A12DDC" w:rsidRDefault="00A12DDC" w:rsidP="00A74DB2">
      <w:pPr>
        <w:spacing w:after="0" w:line="240" w:lineRule="auto"/>
        <w:rPr>
          <w:rFonts w:asciiTheme="minorHAnsi" w:hAnsiTheme="minorHAnsi" w:cstheme="minorHAnsi"/>
          <w:i/>
        </w:rPr>
      </w:pPr>
    </w:p>
    <w:p w14:paraId="28BAC3BB" w14:textId="77777777" w:rsidR="001B283F" w:rsidRPr="008052E1" w:rsidRDefault="001B283F" w:rsidP="00A74DB2">
      <w:pPr>
        <w:spacing w:line="240" w:lineRule="auto"/>
        <w:rPr>
          <w:rFonts w:asciiTheme="minorHAnsi" w:hAnsiTheme="minorHAnsi" w:cstheme="minorHAnsi"/>
        </w:rPr>
      </w:pPr>
      <w:r w:rsidRPr="008052E1">
        <w:rPr>
          <w:rFonts w:asciiTheme="minorHAnsi" w:hAnsiTheme="minorHAnsi" w:cstheme="minorHAnsi"/>
        </w:rPr>
        <w:t>Many people with disabilit</w:t>
      </w:r>
      <w:r w:rsidRPr="001B283F">
        <w:rPr>
          <w:rFonts w:asciiTheme="minorHAnsi" w:hAnsiTheme="minorHAnsi" w:cstheme="minorHAnsi"/>
        </w:rPr>
        <w:t>ies</w:t>
      </w:r>
      <w:r w:rsidRPr="008052E1">
        <w:rPr>
          <w:rFonts w:asciiTheme="minorHAnsi" w:hAnsiTheme="minorHAnsi" w:cstheme="minorHAnsi"/>
        </w:rPr>
        <w:t xml:space="preserve"> first engage with services through hospitals or GPs, which focus primarily on discharge rather than long-term support planning. These entry points often lack clear referral pathways to ongoing services such as the NDIS or foundational supports.</w:t>
      </w:r>
    </w:p>
    <w:p w14:paraId="1FF3A684" w14:textId="77777777" w:rsidR="001B283F" w:rsidRPr="008052E1" w:rsidRDefault="001B283F" w:rsidP="00A74DB2">
      <w:pPr>
        <w:spacing w:line="240" w:lineRule="auto"/>
        <w:rPr>
          <w:rFonts w:asciiTheme="minorHAnsi" w:hAnsiTheme="minorHAnsi" w:cstheme="minorHAnsi"/>
        </w:rPr>
      </w:pPr>
      <w:r w:rsidRPr="008052E1">
        <w:rPr>
          <w:rFonts w:asciiTheme="minorHAnsi" w:hAnsiTheme="minorHAnsi" w:cstheme="minorHAnsi"/>
        </w:rPr>
        <w:t>To ensure a more person-centred and coordinated approach, the NSW Government should establish an integrated triage model that supports “soft landings” into the disability ecosystem. This includes equipping local Navigators with the skills, authority, and referral protocols to provide warm referrals and guide individuals through appropriate pathways</w:t>
      </w:r>
      <w:r w:rsidRPr="001B283F">
        <w:rPr>
          <w:rFonts w:asciiTheme="minorHAnsi" w:hAnsiTheme="minorHAnsi" w:cstheme="minorHAnsi"/>
        </w:rPr>
        <w:t xml:space="preserve">, </w:t>
      </w:r>
      <w:r w:rsidRPr="008052E1">
        <w:rPr>
          <w:rFonts w:asciiTheme="minorHAnsi" w:hAnsiTheme="minorHAnsi" w:cstheme="minorHAnsi"/>
        </w:rPr>
        <w:t>before a crisis point is reached.</w:t>
      </w:r>
    </w:p>
    <w:p w14:paraId="6147D7AA" w14:textId="77777777" w:rsidR="001B283F" w:rsidRPr="008052E1" w:rsidRDefault="001B283F" w:rsidP="00A74DB2">
      <w:pPr>
        <w:spacing w:line="240" w:lineRule="auto"/>
        <w:rPr>
          <w:rFonts w:asciiTheme="minorHAnsi" w:hAnsiTheme="minorHAnsi" w:cstheme="minorHAnsi"/>
        </w:rPr>
      </w:pPr>
      <w:r w:rsidRPr="008052E1">
        <w:rPr>
          <w:rFonts w:asciiTheme="minorHAnsi" w:hAnsiTheme="minorHAnsi" w:cstheme="minorHAnsi"/>
        </w:rPr>
        <w:t>A whole-of-government customer service model should also be developed, enabling agencies to securely share information and reduce the administrative burden on individuals. This will improve continuity of care and avoid repeated storytelling across different systems.</w:t>
      </w:r>
    </w:p>
    <w:p w14:paraId="1C297A10" w14:textId="77777777" w:rsidR="001B283F" w:rsidRPr="008052E1" w:rsidRDefault="001B283F" w:rsidP="00A74DB2">
      <w:pPr>
        <w:spacing w:line="240" w:lineRule="auto"/>
        <w:rPr>
          <w:rFonts w:asciiTheme="minorHAnsi" w:hAnsiTheme="minorHAnsi" w:cstheme="minorHAnsi"/>
        </w:rPr>
      </w:pPr>
      <w:r w:rsidRPr="008052E1">
        <w:rPr>
          <w:rFonts w:asciiTheme="minorHAnsi" w:hAnsiTheme="minorHAnsi" w:cstheme="minorHAnsi"/>
        </w:rPr>
        <w:t>Importantly, foundational supports and navigation must also be embedded in key service sectors such as education, where allied health professionals can ensure children with disability receive timely and appropriate support. An integrated triage system will support smoother transitions, enhance early intervention, and strengthen long-term outcomes.</w:t>
      </w:r>
    </w:p>
    <w:sdt>
      <w:sdtPr>
        <w:rPr>
          <w:rFonts w:asciiTheme="minorHAnsi" w:hAnsiTheme="minorHAnsi"/>
        </w:rPr>
        <w:id w:val="-1698767250"/>
        <w:placeholder>
          <w:docPart w:val="CA45DC134C0441D2BBC6F17982376716"/>
        </w:placeholder>
      </w:sdtPr>
      <w:sdtEndPr>
        <w:rPr>
          <w:iCs/>
          <w:color w:val="FF0000"/>
        </w:rPr>
      </w:sdtEndPr>
      <w:sdtContent>
        <w:p w14:paraId="59D47BDA" w14:textId="5D08EEED" w:rsidR="006218A2" w:rsidRPr="00EA4E52" w:rsidRDefault="006218A2" w:rsidP="006218A2">
          <w:pPr>
            <w:spacing w:after="0" w:line="240" w:lineRule="auto"/>
            <w:rPr>
              <w:rStyle w:val="Heading2Char"/>
              <w:b/>
              <w:bCs/>
            </w:rPr>
          </w:pPr>
          <w:r w:rsidRPr="006218A2">
            <w:rPr>
              <w:rStyle w:val="Heading2Char"/>
              <w:b/>
              <w:bCs/>
            </w:rPr>
            <w:t>Recommendation 6: Fund advocacy and community organisations to deliver foundational supports and map existing services to guide smart investment.</w:t>
          </w:r>
        </w:p>
        <w:p w14:paraId="61041BF1" w14:textId="77777777" w:rsidR="00EA4E52" w:rsidRPr="006218A2" w:rsidRDefault="00EA4E52" w:rsidP="006218A2">
          <w:pPr>
            <w:spacing w:after="0" w:line="240" w:lineRule="auto"/>
            <w:rPr>
              <w:rFonts w:asciiTheme="minorHAnsi" w:hAnsiTheme="minorHAnsi"/>
            </w:rPr>
          </w:pPr>
        </w:p>
        <w:p w14:paraId="47A04ABD" w14:textId="55584DCD" w:rsidR="006218A2" w:rsidRPr="006218A2" w:rsidRDefault="006218A2" w:rsidP="006218A2">
          <w:pPr>
            <w:spacing w:after="0" w:line="240" w:lineRule="auto"/>
            <w:rPr>
              <w:rFonts w:asciiTheme="minorHAnsi" w:hAnsiTheme="minorHAnsi"/>
            </w:rPr>
          </w:pPr>
          <w:r w:rsidRPr="006218A2">
            <w:rPr>
              <w:rFonts w:asciiTheme="minorHAnsi" w:hAnsiTheme="minorHAnsi"/>
            </w:rPr>
            <w:t>Advocacy and community organisations that work with people with disabilities</w:t>
          </w:r>
          <w:r>
            <w:rPr>
              <w:rFonts w:asciiTheme="minorHAnsi" w:hAnsiTheme="minorHAnsi"/>
            </w:rPr>
            <w:t xml:space="preserve">, </w:t>
          </w:r>
          <w:r w:rsidRPr="006218A2">
            <w:rPr>
              <w:rFonts w:asciiTheme="minorHAnsi" w:hAnsiTheme="minorHAnsi"/>
            </w:rPr>
            <w:t>and families of children and young people with disabilities</w:t>
          </w:r>
          <w:r>
            <w:rPr>
              <w:rFonts w:asciiTheme="minorHAnsi" w:hAnsiTheme="minorHAnsi"/>
            </w:rPr>
            <w:t xml:space="preserve">, </w:t>
          </w:r>
          <w:r w:rsidRPr="006218A2">
            <w:rPr>
              <w:rFonts w:asciiTheme="minorHAnsi" w:hAnsiTheme="minorHAnsi"/>
            </w:rPr>
            <w:t>are well-placed to help design and deliver foundational supports. With increasing demand and no current foundational support</w:t>
          </w:r>
          <w:r w:rsidR="00EA4E52">
            <w:rPr>
              <w:rFonts w:asciiTheme="minorHAnsi" w:hAnsiTheme="minorHAnsi"/>
            </w:rPr>
            <w:t>s</w:t>
          </w:r>
          <w:r w:rsidRPr="006218A2">
            <w:rPr>
              <w:rFonts w:asciiTheme="minorHAnsi" w:hAnsiTheme="minorHAnsi"/>
            </w:rPr>
            <w:t xml:space="preserve"> system in place, these organisations can act as a critical bridge during the transition. The NSW Government should invest in these trusted networks and their existing capabilities. At the same time, funding should be directed toward mapping current services to inform strategic, evidence-based decisions on future investment.</w:t>
          </w:r>
        </w:p>
        <w:p w14:paraId="797DAD53" w14:textId="77777777" w:rsidR="006218A2" w:rsidRDefault="006218A2" w:rsidP="00951856">
          <w:pPr>
            <w:spacing w:after="0" w:line="240" w:lineRule="auto"/>
            <w:rPr>
              <w:rFonts w:asciiTheme="minorHAnsi" w:hAnsiTheme="minorHAnsi"/>
            </w:rPr>
          </w:pPr>
        </w:p>
        <w:p w14:paraId="441F1324" w14:textId="5648A086" w:rsidR="00A30E1F" w:rsidRPr="00E0436D" w:rsidRDefault="00367E01" w:rsidP="00A74DB2">
          <w:pPr>
            <w:spacing w:after="0" w:line="240" w:lineRule="auto"/>
            <w:rPr>
              <w:rFonts w:asciiTheme="minorHAnsi" w:hAnsiTheme="minorHAnsi"/>
              <w:color w:val="FF0000"/>
            </w:rPr>
          </w:pPr>
        </w:p>
      </w:sdtContent>
    </w:sdt>
    <w:p w14:paraId="2BBA6DEB" w14:textId="77777777" w:rsidR="007230EB" w:rsidRDefault="007230EB" w:rsidP="00A74DB2">
      <w:pPr>
        <w:spacing w:line="240" w:lineRule="auto"/>
      </w:pPr>
    </w:p>
    <w:p w14:paraId="62544B21" w14:textId="77777777" w:rsidR="00067F53" w:rsidRDefault="00067F53" w:rsidP="00A74DB2">
      <w:pPr>
        <w:spacing w:line="240" w:lineRule="auto"/>
      </w:pPr>
    </w:p>
    <w:p w14:paraId="409F1145" w14:textId="77777777" w:rsidR="00A74DB2" w:rsidRDefault="00A74DB2" w:rsidP="00A74DB2">
      <w:pPr>
        <w:spacing w:line="240" w:lineRule="auto"/>
      </w:pPr>
    </w:p>
    <w:p w14:paraId="6D28D869" w14:textId="77777777" w:rsidR="0008279B" w:rsidRDefault="0008279B" w:rsidP="00A74DB2">
      <w:pPr>
        <w:spacing w:line="240" w:lineRule="auto"/>
      </w:pPr>
    </w:p>
    <w:p w14:paraId="3C420094" w14:textId="77777777" w:rsidR="00A74DB2" w:rsidRDefault="00A74DB2" w:rsidP="00A74DB2">
      <w:pPr>
        <w:spacing w:line="240" w:lineRule="auto"/>
      </w:pPr>
    </w:p>
    <w:p w14:paraId="342500DA" w14:textId="2CA1E0E5" w:rsidR="0032784D" w:rsidRPr="00D76596" w:rsidRDefault="00E3156F" w:rsidP="00A74DB2">
      <w:pPr>
        <w:pStyle w:val="Heading1"/>
        <w:rPr>
          <w:rFonts w:asciiTheme="minorHAnsi" w:hAnsiTheme="minorHAnsi" w:cstheme="minorHAnsi"/>
        </w:rPr>
      </w:pPr>
      <w:bookmarkStart w:id="10" w:name="_Toc198202092"/>
      <w:r w:rsidRPr="00D76596">
        <w:rPr>
          <w:rFonts w:asciiTheme="minorHAnsi" w:hAnsiTheme="minorHAnsi" w:cstheme="minorHAnsi"/>
        </w:rPr>
        <w:t>Overview of Foundational Supports</w:t>
      </w:r>
      <w:r w:rsidR="004C75A8">
        <w:rPr>
          <w:rFonts w:asciiTheme="minorHAnsi" w:hAnsiTheme="minorHAnsi" w:cstheme="minorHAnsi"/>
        </w:rPr>
        <w:t>- what we know so far</w:t>
      </w:r>
      <w:bookmarkEnd w:id="10"/>
    </w:p>
    <w:p w14:paraId="6BA70CF6" w14:textId="77777777" w:rsidR="0032784D" w:rsidRPr="00D76596" w:rsidRDefault="0032784D" w:rsidP="00A74DB2">
      <w:pPr>
        <w:spacing w:line="240" w:lineRule="auto"/>
        <w:rPr>
          <w:rFonts w:asciiTheme="minorHAnsi" w:hAnsiTheme="minorHAnsi" w:cstheme="minorHAnsi"/>
        </w:rPr>
      </w:pPr>
    </w:p>
    <w:p w14:paraId="1A36AF0C" w14:textId="05D34186" w:rsidR="00EF75D5" w:rsidRDefault="00EF75D5" w:rsidP="00A74DB2">
      <w:pPr>
        <w:pStyle w:val="NoSpacing"/>
        <w:rPr>
          <w:rFonts w:asciiTheme="minorHAnsi" w:eastAsia="Calibri" w:hAnsiTheme="minorHAnsi"/>
        </w:rPr>
      </w:pPr>
      <w:r w:rsidRPr="00EF75D5">
        <w:rPr>
          <w:rFonts w:asciiTheme="minorHAnsi" w:eastAsia="Calibri" w:hAnsiTheme="minorHAnsi"/>
          <w:b/>
          <w:bCs/>
        </w:rPr>
        <w:t>Foundational supports</w:t>
      </w:r>
      <w:r w:rsidRPr="00EF75D5">
        <w:rPr>
          <w:rFonts w:asciiTheme="minorHAnsi" w:eastAsia="Calibri" w:hAnsiTheme="minorHAnsi"/>
        </w:rPr>
        <w:t>, as proposed in the NDIS Review, are intended to provide inclusive, community-based services for people with disability</w:t>
      </w:r>
      <w:r>
        <w:rPr>
          <w:rFonts w:asciiTheme="minorHAnsi" w:eastAsia="Calibri" w:hAnsiTheme="minorHAnsi"/>
        </w:rPr>
        <w:t xml:space="preserve">, </w:t>
      </w:r>
      <w:r w:rsidRPr="00EF75D5">
        <w:rPr>
          <w:rFonts w:asciiTheme="minorHAnsi" w:eastAsia="Calibri" w:hAnsiTheme="minorHAnsi"/>
        </w:rPr>
        <w:t>particularly for those who do not qualify for individualised NDIS funding. These supports are meant to sit alongside the NDIS and mainstream services to ensure no one is left behind.</w:t>
      </w:r>
    </w:p>
    <w:p w14:paraId="14380246" w14:textId="77777777" w:rsidR="00EF75D5" w:rsidRPr="00EF75D5" w:rsidRDefault="00EF75D5" w:rsidP="00A74DB2">
      <w:pPr>
        <w:pStyle w:val="NoSpacing"/>
        <w:rPr>
          <w:rFonts w:asciiTheme="minorHAnsi" w:eastAsia="Calibri" w:hAnsiTheme="minorHAnsi"/>
        </w:rPr>
      </w:pPr>
    </w:p>
    <w:p w14:paraId="3EE61BFA" w14:textId="77777777" w:rsidR="00EF75D5" w:rsidRDefault="00EF75D5" w:rsidP="00A74DB2">
      <w:pPr>
        <w:pStyle w:val="NoSpacing"/>
        <w:rPr>
          <w:rFonts w:asciiTheme="minorHAnsi" w:eastAsia="Calibri" w:hAnsiTheme="minorHAnsi"/>
        </w:rPr>
      </w:pPr>
      <w:r w:rsidRPr="00EF75D5">
        <w:rPr>
          <w:rFonts w:asciiTheme="minorHAnsi" w:eastAsia="Calibri" w:hAnsiTheme="minorHAnsi"/>
        </w:rPr>
        <w:t>The Department of Social Services currently defines foundational supports as:</w:t>
      </w:r>
    </w:p>
    <w:p w14:paraId="59EB9F35" w14:textId="77777777" w:rsidR="00EF75D5" w:rsidRPr="00EF75D5" w:rsidRDefault="00EF75D5" w:rsidP="00A74DB2">
      <w:pPr>
        <w:pStyle w:val="NoSpacing"/>
        <w:rPr>
          <w:rFonts w:asciiTheme="minorHAnsi" w:eastAsia="Calibri" w:hAnsiTheme="minorHAnsi"/>
        </w:rPr>
      </w:pPr>
    </w:p>
    <w:p w14:paraId="1CCC1DA4" w14:textId="4ABF9E74" w:rsidR="00EF75D5" w:rsidRDefault="00EF75D5" w:rsidP="00A74DB2">
      <w:pPr>
        <w:pStyle w:val="NoSpacing"/>
        <w:numPr>
          <w:ilvl w:val="0"/>
          <w:numId w:val="38"/>
        </w:numPr>
        <w:rPr>
          <w:rFonts w:asciiTheme="minorHAnsi" w:eastAsia="Calibri" w:hAnsiTheme="minorHAnsi"/>
        </w:rPr>
      </w:pPr>
      <w:r w:rsidRPr="00EF75D5">
        <w:rPr>
          <w:rFonts w:asciiTheme="minorHAnsi" w:eastAsia="Calibri" w:hAnsiTheme="minorHAnsi"/>
          <w:b/>
          <w:bCs/>
        </w:rPr>
        <w:t>General Foundational Supports</w:t>
      </w:r>
      <w:r w:rsidRPr="00EF75D5">
        <w:rPr>
          <w:rFonts w:asciiTheme="minorHAnsi" w:eastAsia="Calibri" w:hAnsiTheme="minorHAnsi"/>
        </w:rPr>
        <w:t xml:space="preserve">: Available to all people with disability under 65, including information and advice, peer support, self-advocacy, capacity building, and employment supports. </w:t>
      </w:r>
      <w:r w:rsidRPr="00675C2D">
        <w:rPr>
          <w:rFonts w:asciiTheme="minorHAnsi" w:eastAsia="Calibri" w:hAnsiTheme="minorHAnsi"/>
          <w:i/>
          <w:iCs/>
        </w:rPr>
        <w:t xml:space="preserve">However, </w:t>
      </w:r>
      <w:r w:rsidR="00724C90" w:rsidRPr="00675C2D">
        <w:rPr>
          <w:rFonts w:asciiTheme="minorHAnsi" w:eastAsia="Calibri" w:hAnsiTheme="minorHAnsi"/>
          <w:i/>
          <w:iCs/>
        </w:rPr>
        <w:t xml:space="preserve">to date, </w:t>
      </w:r>
      <w:r w:rsidRPr="00675C2D">
        <w:rPr>
          <w:rFonts w:asciiTheme="minorHAnsi" w:eastAsia="Calibri" w:hAnsiTheme="minorHAnsi"/>
          <w:i/>
          <w:iCs/>
        </w:rPr>
        <w:t xml:space="preserve">there has been no clear consultation on what services should be included in this category. </w:t>
      </w:r>
      <w:r w:rsidRPr="00675C2D">
        <w:rPr>
          <w:rFonts w:asciiTheme="minorHAnsi" w:eastAsia="Calibri" w:hAnsiTheme="minorHAnsi"/>
        </w:rPr>
        <w:t>This must be urgently addressed through genuine co-design with people with disability and advocacy organisations</w:t>
      </w:r>
      <w:r w:rsidRPr="00675C2D">
        <w:rPr>
          <w:rFonts w:asciiTheme="minorHAnsi" w:eastAsia="Calibri" w:hAnsiTheme="minorHAnsi"/>
          <w:i/>
          <w:iCs/>
        </w:rPr>
        <w:t>.</w:t>
      </w:r>
    </w:p>
    <w:p w14:paraId="0B654D9A" w14:textId="77777777" w:rsidR="00C72150" w:rsidRPr="00EF75D5" w:rsidRDefault="00C72150" w:rsidP="00A74DB2">
      <w:pPr>
        <w:pStyle w:val="NoSpacing"/>
        <w:ind w:left="720"/>
        <w:rPr>
          <w:rFonts w:asciiTheme="minorHAnsi" w:eastAsia="Calibri" w:hAnsiTheme="minorHAnsi"/>
        </w:rPr>
      </w:pPr>
    </w:p>
    <w:p w14:paraId="5D99CB8F" w14:textId="77777777" w:rsidR="00EF75D5" w:rsidRPr="00EF75D5" w:rsidRDefault="00EF75D5" w:rsidP="00A74DB2">
      <w:pPr>
        <w:pStyle w:val="NoSpacing"/>
        <w:numPr>
          <w:ilvl w:val="0"/>
          <w:numId w:val="38"/>
        </w:numPr>
        <w:rPr>
          <w:rFonts w:asciiTheme="minorHAnsi" w:eastAsia="Calibri" w:hAnsiTheme="minorHAnsi"/>
        </w:rPr>
      </w:pPr>
      <w:r w:rsidRPr="00EF75D5">
        <w:rPr>
          <w:rFonts w:asciiTheme="minorHAnsi" w:eastAsia="Calibri" w:hAnsiTheme="minorHAnsi"/>
          <w:b/>
          <w:bCs/>
        </w:rPr>
        <w:t>Targeted Foundational Supports</w:t>
      </w:r>
      <w:r w:rsidRPr="00EF75D5">
        <w:rPr>
          <w:rFonts w:asciiTheme="minorHAnsi" w:eastAsia="Calibri" w:hAnsiTheme="minorHAnsi"/>
        </w:rPr>
        <w:t xml:space="preserve">: Described as tailored supports for people under 65 who do not meet NDIS eligibility, such as community access, aids and equipment, psychosocial supports, early intervention for families, and transition supports for young people. </w:t>
      </w:r>
      <w:r w:rsidRPr="00675C2D">
        <w:rPr>
          <w:rFonts w:asciiTheme="minorHAnsi" w:eastAsia="Calibri" w:hAnsiTheme="minorHAnsi"/>
          <w:i/>
          <w:iCs/>
        </w:rPr>
        <w:t>However, the rationale for identifying specific target cohorts—such as children aged 0–9—remains unclear and lacks transparency.</w:t>
      </w:r>
      <w:r w:rsidRPr="00EF75D5">
        <w:rPr>
          <w:rFonts w:asciiTheme="minorHAnsi" w:eastAsia="Calibri" w:hAnsiTheme="minorHAnsi"/>
        </w:rPr>
        <w:t xml:space="preserve"> Targeted supports must be defined based on demonstrated need, with robust consultation on who these supports are for and what they include.</w:t>
      </w:r>
    </w:p>
    <w:p w14:paraId="369EC657" w14:textId="77777777" w:rsidR="00EF75D5" w:rsidRDefault="00EF75D5" w:rsidP="00A74DB2">
      <w:pPr>
        <w:pStyle w:val="NoSpacing"/>
        <w:rPr>
          <w:rFonts w:asciiTheme="minorHAnsi" w:eastAsia="Calibri" w:hAnsiTheme="minorHAnsi"/>
        </w:rPr>
      </w:pPr>
    </w:p>
    <w:p w14:paraId="70230284" w14:textId="3F478AA6" w:rsidR="00EF75D5" w:rsidRPr="00EF75D5" w:rsidRDefault="00EF75D5" w:rsidP="00A74DB2">
      <w:pPr>
        <w:pStyle w:val="NoSpacing"/>
        <w:rPr>
          <w:rFonts w:asciiTheme="minorHAnsi" w:eastAsia="Calibri" w:hAnsiTheme="minorHAnsi"/>
        </w:rPr>
      </w:pPr>
      <w:r w:rsidRPr="00EF75D5">
        <w:rPr>
          <w:rFonts w:asciiTheme="minorHAnsi" w:eastAsia="Calibri" w:hAnsiTheme="minorHAnsi"/>
        </w:rPr>
        <w:t>In contrast:</w:t>
      </w:r>
    </w:p>
    <w:p w14:paraId="0A246C6E" w14:textId="77777777" w:rsidR="00EF75D5" w:rsidRPr="00EF75D5" w:rsidRDefault="00EF75D5" w:rsidP="00A74DB2">
      <w:pPr>
        <w:pStyle w:val="NoSpacing"/>
        <w:numPr>
          <w:ilvl w:val="0"/>
          <w:numId w:val="39"/>
        </w:numPr>
        <w:rPr>
          <w:rFonts w:asciiTheme="minorHAnsi" w:eastAsia="Calibri" w:hAnsiTheme="minorHAnsi"/>
        </w:rPr>
      </w:pPr>
      <w:r w:rsidRPr="00EF75D5">
        <w:rPr>
          <w:rFonts w:asciiTheme="minorHAnsi" w:eastAsia="Calibri" w:hAnsiTheme="minorHAnsi"/>
          <w:b/>
          <w:bCs/>
        </w:rPr>
        <w:t>Mainstream Services</w:t>
      </w:r>
      <w:r w:rsidRPr="00EF75D5">
        <w:rPr>
          <w:rFonts w:asciiTheme="minorHAnsi" w:eastAsia="Calibri" w:hAnsiTheme="minorHAnsi"/>
        </w:rPr>
        <w:t xml:space="preserve"> are those provided to the general population and include accessible public systems such as transport, health, education, and community programs.</w:t>
      </w:r>
    </w:p>
    <w:p w14:paraId="32606FC9" w14:textId="77777777" w:rsidR="00EF75D5" w:rsidRPr="00EF75D5" w:rsidRDefault="00EF75D5" w:rsidP="00A74DB2">
      <w:pPr>
        <w:pStyle w:val="NoSpacing"/>
        <w:numPr>
          <w:ilvl w:val="0"/>
          <w:numId w:val="39"/>
        </w:numPr>
        <w:rPr>
          <w:rFonts w:asciiTheme="minorHAnsi" w:eastAsia="Calibri" w:hAnsiTheme="minorHAnsi"/>
        </w:rPr>
      </w:pPr>
      <w:r w:rsidRPr="00EF75D5">
        <w:rPr>
          <w:rFonts w:asciiTheme="minorHAnsi" w:eastAsia="Calibri" w:hAnsiTheme="minorHAnsi"/>
          <w:b/>
          <w:bCs/>
        </w:rPr>
        <w:t>Individual Supports</w:t>
      </w:r>
      <w:r w:rsidRPr="00EF75D5">
        <w:rPr>
          <w:rFonts w:asciiTheme="minorHAnsi" w:eastAsia="Calibri" w:hAnsiTheme="minorHAnsi"/>
        </w:rPr>
        <w:t xml:space="preserve"> refer to personalised budgets and funded supports under the NDIS, tailored to a person’s specific disability support needs.</w:t>
      </w:r>
    </w:p>
    <w:p w14:paraId="1FA758BE" w14:textId="77777777" w:rsidR="00EF75D5" w:rsidRDefault="00EF75D5" w:rsidP="00A74DB2">
      <w:pPr>
        <w:pStyle w:val="NoSpacing"/>
        <w:rPr>
          <w:rFonts w:asciiTheme="minorHAnsi" w:eastAsia="Calibri" w:hAnsiTheme="minorHAnsi"/>
        </w:rPr>
      </w:pPr>
    </w:p>
    <w:p w14:paraId="38AD31DC" w14:textId="4ECE6472" w:rsidR="00EF75D5" w:rsidRPr="00EF75D5" w:rsidRDefault="00EF75D5" w:rsidP="00A74DB2">
      <w:pPr>
        <w:pStyle w:val="NoSpacing"/>
        <w:rPr>
          <w:rFonts w:asciiTheme="minorHAnsi" w:eastAsia="Calibri" w:hAnsiTheme="minorHAnsi"/>
        </w:rPr>
      </w:pPr>
      <w:r w:rsidRPr="00EF75D5">
        <w:rPr>
          <w:rFonts w:asciiTheme="minorHAnsi" w:eastAsia="Calibri" w:hAnsiTheme="minorHAnsi"/>
        </w:rPr>
        <w:t xml:space="preserve">The National Cabinet Agreement, signed by the Prime Minister and state premiers, outlines that foundational supports will be jointly commissioned by the Commonwealth, states, and territories. However, NDIS </w:t>
      </w:r>
      <w:r>
        <w:rPr>
          <w:rFonts w:asciiTheme="minorHAnsi" w:eastAsia="Calibri" w:hAnsiTheme="minorHAnsi"/>
        </w:rPr>
        <w:t xml:space="preserve">contraction </w:t>
      </w:r>
      <w:r w:rsidRPr="00EF75D5">
        <w:rPr>
          <w:rFonts w:asciiTheme="minorHAnsi" w:eastAsia="Calibri" w:hAnsiTheme="minorHAnsi"/>
        </w:rPr>
        <w:t>has already commenced, despite foundational supports not yet being in place. This has left many people with disability without access to essential services, with flow-on effects across employment, education, health, and the broader economy.</w:t>
      </w:r>
    </w:p>
    <w:p w14:paraId="42C1E7AE" w14:textId="49A35668" w:rsidR="00167522" w:rsidRPr="00D76596" w:rsidRDefault="00E3156F" w:rsidP="00A74DB2">
      <w:pPr>
        <w:pStyle w:val="NoSpacing"/>
        <w:rPr>
          <w:rFonts w:asciiTheme="minorHAnsi" w:hAnsiTheme="minorHAnsi" w:cstheme="minorHAnsi"/>
        </w:rPr>
      </w:pPr>
      <w:r w:rsidRPr="00D76596">
        <w:rPr>
          <w:rFonts w:asciiTheme="minorHAnsi" w:hAnsiTheme="minorHAnsi" w:cstheme="minorHAnsi"/>
        </w:rPr>
        <w:t xml:space="preserve"> </w:t>
      </w:r>
    </w:p>
    <w:p w14:paraId="73BCEFB2" w14:textId="77777777" w:rsidR="00167522" w:rsidRPr="00D76596" w:rsidRDefault="00167522" w:rsidP="00A74DB2">
      <w:pPr>
        <w:pStyle w:val="NoSpacing"/>
        <w:rPr>
          <w:rFonts w:asciiTheme="minorHAnsi" w:hAnsiTheme="minorHAnsi" w:cstheme="minorHAnsi"/>
        </w:rPr>
      </w:pPr>
    </w:p>
    <w:p w14:paraId="07BF46D9" w14:textId="48E287F1" w:rsidR="00167522" w:rsidRPr="00D63553" w:rsidRDefault="003E5C71" w:rsidP="00A74DB2">
      <w:pPr>
        <w:pStyle w:val="Heading2"/>
        <w:rPr>
          <w:b/>
          <w:bCs/>
        </w:rPr>
      </w:pPr>
      <w:bookmarkStart w:id="11" w:name="_Toc198202093"/>
      <w:r w:rsidRPr="00D63553">
        <w:rPr>
          <w:b/>
          <w:bCs/>
        </w:rPr>
        <w:t xml:space="preserve">What people with physical disabilities </w:t>
      </w:r>
      <w:r w:rsidR="00D63553" w:rsidRPr="00D63553">
        <w:rPr>
          <w:b/>
          <w:bCs/>
        </w:rPr>
        <w:t>told PDCN about their needs</w:t>
      </w:r>
      <w:bookmarkEnd w:id="11"/>
    </w:p>
    <w:p w14:paraId="528265DE" w14:textId="77777777" w:rsidR="00D63553" w:rsidRDefault="00D63553" w:rsidP="00A74DB2">
      <w:pPr>
        <w:pStyle w:val="NoSpacing"/>
        <w:rPr>
          <w:rFonts w:asciiTheme="minorHAnsi" w:hAnsiTheme="minorHAnsi" w:cstheme="minorHAnsi"/>
        </w:rPr>
      </w:pPr>
    </w:p>
    <w:p w14:paraId="5E06EF44" w14:textId="77777777" w:rsidR="000C30CD" w:rsidRPr="000C30CD" w:rsidRDefault="000C30CD" w:rsidP="000C30CD">
      <w:pPr>
        <w:pStyle w:val="NoSpacing"/>
        <w:rPr>
          <w:rFonts w:asciiTheme="minorHAnsi" w:eastAsiaTheme="majorEastAsia" w:hAnsiTheme="minorHAnsi"/>
          <w:color w:val="000000" w:themeColor="text1"/>
        </w:rPr>
      </w:pPr>
      <w:r w:rsidRPr="000C30CD">
        <w:rPr>
          <w:rFonts w:asciiTheme="minorHAnsi" w:eastAsiaTheme="majorEastAsia" w:hAnsiTheme="minorHAnsi"/>
          <w:color w:val="000000" w:themeColor="text1"/>
        </w:rPr>
        <w:t>PDCN regularly surveys our members to better understand their peer support needs. Our 2025 engagement to date has revealed strong demand in several key areas, including: accessing and understanding the NDIS (44%), navigating post-traumatic growth (28%), supporting a person with disability as a parent or carer (20%), self-advocacy in challenging situations (12%), addressing loneliness (12%), building independence and practical living skills (8%), developing communication and relationship skills (8%), and improving access to transport and community participation (8%).</w:t>
      </w:r>
    </w:p>
    <w:p w14:paraId="4B15F4C5" w14:textId="50EB2A04" w:rsidR="000C30CD" w:rsidRPr="000C30CD" w:rsidRDefault="000C30CD" w:rsidP="000C30CD">
      <w:pPr>
        <w:pStyle w:val="NoSpacing"/>
        <w:rPr>
          <w:rFonts w:asciiTheme="minorHAnsi" w:eastAsiaTheme="majorEastAsia" w:hAnsiTheme="minorHAnsi"/>
          <w:color w:val="000000" w:themeColor="text1"/>
        </w:rPr>
      </w:pPr>
      <w:r w:rsidRPr="000C30CD">
        <w:rPr>
          <w:rFonts w:asciiTheme="minorHAnsi" w:eastAsiaTheme="majorEastAsia" w:hAnsiTheme="minorHAnsi"/>
          <w:color w:val="000000" w:themeColor="text1"/>
        </w:rPr>
        <w:t xml:space="preserve">PDCN currently delivers a range of peer support offerings, including one-to-one support, peer groups, and workshops focused on navigating the NDIS, post-traumatic growth, self-advocacy and speaking up, building employment skills, and a dedicated </w:t>
      </w:r>
      <w:r w:rsidRPr="000C30CD">
        <w:rPr>
          <w:rFonts w:asciiTheme="minorHAnsi" w:eastAsiaTheme="majorEastAsia" w:hAnsiTheme="minorHAnsi"/>
          <w:i/>
          <w:iCs/>
          <w:color w:val="000000" w:themeColor="text1"/>
        </w:rPr>
        <w:t>Nurturing Self</w:t>
      </w:r>
      <w:r w:rsidRPr="000C30CD">
        <w:rPr>
          <w:rFonts w:asciiTheme="minorHAnsi" w:eastAsiaTheme="majorEastAsia" w:hAnsiTheme="minorHAnsi"/>
          <w:color w:val="000000" w:themeColor="text1"/>
        </w:rPr>
        <w:t xml:space="preserve"> program for parents and carers of people with disabilities.</w:t>
      </w:r>
    </w:p>
    <w:p w14:paraId="1F802C2D" w14:textId="77777777" w:rsidR="00080E4C" w:rsidRPr="004A63E7" w:rsidRDefault="00080E4C" w:rsidP="00080E4C">
      <w:pPr>
        <w:pStyle w:val="NoSpacing"/>
        <w:rPr>
          <w:rFonts w:asciiTheme="minorHAnsi" w:eastAsiaTheme="majorEastAsia" w:hAnsiTheme="minorHAnsi"/>
          <w:color w:val="000000" w:themeColor="text1"/>
        </w:rPr>
      </w:pPr>
    </w:p>
    <w:p w14:paraId="128920DF" w14:textId="5E489DD6" w:rsidR="009D0B7D" w:rsidRPr="005F21E9" w:rsidRDefault="009D0B7D" w:rsidP="00A74DB2">
      <w:pPr>
        <w:spacing w:line="240" w:lineRule="auto"/>
        <w:rPr>
          <w:rFonts w:asciiTheme="minorHAnsi" w:hAnsiTheme="minorHAnsi" w:cstheme="minorHAnsi"/>
        </w:rPr>
      </w:pPr>
      <w:r w:rsidRPr="005F21E9">
        <w:rPr>
          <w:rFonts w:asciiTheme="minorHAnsi" w:hAnsiTheme="minorHAnsi" w:cstheme="minorHAnsi"/>
        </w:rPr>
        <w:lastRenderedPageBreak/>
        <w:t>In June 2024, the Physical Disability Council of NSW (PDCN) conducted a statewide survey to better understand the support needs of people with physical disabilities who are not covered by the National Disability Insurance Scheme (NDIS). The survey received 162 responses from people with disability, families, and carers, and was supported by qualitative insights from PDCN’s Lived Experience Advisory Panel (LEAP). The findings provide evidence of systemic service gaps and inform recommendations for the development of foundational supports outside the NDIS.</w:t>
      </w:r>
    </w:p>
    <w:p w14:paraId="31BEC2C2" w14:textId="77777777" w:rsidR="009D0B7D" w:rsidRPr="00713D0A" w:rsidRDefault="009D0B7D" w:rsidP="00A74DB2">
      <w:pPr>
        <w:pStyle w:val="RecTitle"/>
        <w:rPr>
          <w:i w:val="0"/>
          <w:iCs/>
        </w:rPr>
      </w:pPr>
      <w:r w:rsidRPr="00713D0A">
        <w:rPr>
          <w:i w:val="0"/>
          <w:iCs/>
        </w:rPr>
        <w:t>Service gaps outside the NDIS</w:t>
      </w:r>
    </w:p>
    <w:p w14:paraId="7E426BB5" w14:textId="717AF8EB" w:rsidR="009D0B7D" w:rsidRPr="005F21E9" w:rsidRDefault="00FF290B" w:rsidP="00A74DB2">
      <w:pPr>
        <w:spacing w:line="240" w:lineRule="auto"/>
        <w:rPr>
          <w:rFonts w:asciiTheme="minorHAnsi" w:hAnsiTheme="minorHAnsi" w:cstheme="minorHAnsi"/>
        </w:rPr>
      </w:pPr>
      <w:r>
        <w:rPr>
          <w:rFonts w:asciiTheme="minorHAnsi" w:hAnsiTheme="minorHAnsi" w:cstheme="minorHAnsi"/>
        </w:rPr>
        <w:t>Respondents to the PDCN Foundational Supports survey highlighted</w:t>
      </w:r>
      <w:r w:rsidR="009D0B7D" w:rsidRPr="005F21E9">
        <w:rPr>
          <w:rFonts w:asciiTheme="minorHAnsi" w:hAnsiTheme="minorHAnsi" w:cstheme="minorHAnsi"/>
        </w:rPr>
        <w:t xml:space="preserve"> the absence of consistent, affordable, and accessible supports for people not eligible for the NDIS. A majority (56.6%) indicated that adequate support options do not exist outside the scheme. This perception was reinforced by 54.4% of respondents stating that no such supports were available to them, with an additional 25% unsure.</w:t>
      </w:r>
    </w:p>
    <w:p w14:paraId="552AF9C9" w14:textId="77777777" w:rsidR="009D0B7D" w:rsidRPr="005F21E9" w:rsidRDefault="009D0B7D" w:rsidP="00A74DB2">
      <w:pPr>
        <w:spacing w:line="240" w:lineRule="auto"/>
        <w:rPr>
          <w:rFonts w:asciiTheme="minorHAnsi" w:hAnsiTheme="minorHAnsi" w:cstheme="minorHAnsi"/>
        </w:rPr>
      </w:pPr>
      <w:r w:rsidRPr="005F21E9">
        <w:rPr>
          <w:rFonts w:asciiTheme="minorHAnsi" w:hAnsiTheme="minorHAnsi" w:cstheme="minorHAnsi"/>
        </w:rPr>
        <w:t>Satisfaction with current non-NDIS supports is also low. Just over half of respondents (50.9%) expressed some level of satisfaction, while 42.95% reported dissatisfaction, with “Strongly disagree” being the most common negative response (22.1%). These results reflect deep concern about the fragmented and inconsistent nature of existing systems and a reliance on informal support.</w:t>
      </w:r>
    </w:p>
    <w:p w14:paraId="3BA7D186" w14:textId="5BC779E8" w:rsidR="009D0B7D" w:rsidRPr="005F21E9" w:rsidRDefault="009D0B7D" w:rsidP="00A74DB2">
      <w:pPr>
        <w:spacing w:line="240" w:lineRule="auto"/>
        <w:rPr>
          <w:rFonts w:asciiTheme="minorHAnsi" w:hAnsiTheme="minorHAnsi" w:cstheme="minorHAnsi"/>
        </w:rPr>
      </w:pPr>
      <w:r w:rsidRPr="005F21E9">
        <w:rPr>
          <w:rFonts w:asciiTheme="minorHAnsi" w:hAnsiTheme="minorHAnsi" w:cstheme="minorHAnsi"/>
        </w:rPr>
        <w:t>Critically, 85.8% of respondents believe that the NSW Government has a responsibility to fund additional disability services outside the NDIS.</w:t>
      </w:r>
    </w:p>
    <w:p w14:paraId="301DD454" w14:textId="77777777" w:rsidR="009D0B7D" w:rsidRPr="00713D0A" w:rsidRDefault="009D0B7D" w:rsidP="00A74DB2">
      <w:pPr>
        <w:pStyle w:val="RecTitle"/>
        <w:rPr>
          <w:i w:val="0"/>
          <w:iCs/>
        </w:rPr>
      </w:pPr>
      <w:r w:rsidRPr="00713D0A">
        <w:rPr>
          <w:i w:val="0"/>
          <w:iCs/>
        </w:rPr>
        <w:t>Benefits and priorities for additional supports</w:t>
      </w:r>
    </w:p>
    <w:p w14:paraId="0F3EDD19" w14:textId="77777777" w:rsidR="00005C64" w:rsidRPr="00005C64" w:rsidRDefault="00005C64" w:rsidP="00A74DB2">
      <w:pPr>
        <w:spacing w:line="240" w:lineRule="auto"/>
        <w:rPr>
          <w:rFonts w:asciiTheme="minorHAnsi" w:hAnsiTheme="minorHAnsi" w:cstheme="minorHAnsi"/>
        </w:rPr>
      </w:pPr>
      <w:r w:rsidRPr="00005C64">
        <w:rPr>
          <w:rFonts w:asciiTheme="minorHAnsi" w:hAnsiTheme="minorHAnsi" w:cstheme="minorHAnsi"/>
        </w:rPr>
        <w:t>There is overwhelming community consensus (96.6%) that additional disability services would have a positive impact. Respondents highlighted key benefits such as increased choice and control (18.6%), more support with daily living (16.6%), and the ability to bridge service gaps left by the NDIS (15.2%). Many also noted that improved services would enhance quality of life, safety, social inclusion, and income stability.</w:t>
      </w:r>
    </w:p>
    <w:p w14:paraId="79B4C05A" w14:textId="77777777" w:rsidR="00005C64" w:rsidRPr="00005C64" w:rsidRDefault="00005C64" w:rsidP="00A74DB2">
      <w:pPr>
        <w:spacing w:line="240" w:lineRule="auto"/>
        <w:rPr>
          <w:rFonts w:asciiTheme="minorHAnsi" w:hAnsiTheme="minorHAnsi" w:cstheme="minorHAnsi"/>
        </w:rPr>
      </w:pPr>
      <w:r w:rsidRPr="00005C64">
        <w:rPr>
          <w:rFonts w:asciiTheme="minorHAnsi" w:hAnsiTheme="minorHAnsi" w:cstheme="minorHAnsi"/>
        </w:rPr>
        <w:t>Priority areas identified for foundational supports include assistance with daily life (33.1%), access to health services (28.3%), and the provision of assistive technology (17.9%). Other essential areas include accessible transport, mental health support, and appropriate housing.</w:t>
      </w:r>
    </w:p>
    <w:p w14:paraId="311AE053" w14:textId="7197FD22" w:rsidR="009D0B7D" w:rsidRPr="005F21E9" w:rsidRDefault="00005C64" w:rsidP="00A74DB2">
      <w:pPr>
        <w:spacing w:line="240" w:lineRule="auto"/>
        <w:rPr>
          <w:rFonts w:asciiTheme="minorHAnsi" w:hAnsiTheme="minorHAnsi" w:cstheme="minorHAnsi"/>
        </w:rPr>
      </w:pPr>
      <w:r w:rsidRPr="00005C64">
        <w:rPr>
          <w:rFonts w:asciiTheme="minorHAnsi" w:hAnsiTheme="minorHAnsi" w:cstheme="minorHAnsi"/>
        </w:rPr>
        <w:t>These findings reinforce the urgent need for foundational supports that meet people’s day-to-day needs and work alongside both mainstream services and the NDIS.</w:t>
      </w:r>
    </w:p>
    <w:p w14:paraId="1FEC03A6" w14:textId="77777777" w:rsidR="00713D0A" w:rsidRPr="00713D0A" w:rsidRDefault="00713D0A" w:rsidP="00A74DB2">
      <w:pPr>
        <w:pStyle w:val="RecTitle"/>
        <w:rPr>
          <w:i w:val="0"/>
          <w:iCs/>
        </w:rPr>
      </w:pPr>
      <w:r w:rsidRPr="00713D0A">
        <w:rPr>
          <w:i w:val="0"/>
          <w:iCs/>
        </w:rPr>
        <w:t>B</w:t>
      </w:r>
      <w:r w:rsidR="009D0B7D" w:rsidRPr="00713D0A">
        <w:rPr>
          <w:i w:val="0"/>
          <w:iCs/>
        </w:rPr>
        <w:t>arriers to inclusion across sectors</w:t>
      </w:r>
    </w:p>
    <w:p w14:paraId="10CC161C" w14:textId="241A4C40" w:rsidR="0006450E" w:rsidRPr="00713D0A" w:rsidRDefault="0006450E" w:rsidP="00A74DB2">
      <w:pPr>
        <w:spacing w:line="240" w:lineRule="auto"/>
        <w:rPr>
          <w:rFonts w:asciiTheme="minorHAnsi" w:hAnsiTheme="minorHAnsi" w:cstheme="minorHAnsi"/>
          <w:b/>
          <w:bCs/>
        </w:rPr>
      </w:pPr>
      <w:r w:rsidRPr="0006450E">
        <w:rPr>
          <w:rFonts w:asciiTheme="minorHAnsi" w:hAnsiTheme="minorHAnsi" w:cstheme="minorHAnsi"/>
        </w:rPr>
        <w:t>Survey participants were also asked to identify the sectors where disability inclusion needs the most improvement. The</w:t>
      </w:r>
      <w:r w:rsidR="00E52D0D">
        <w:rPr>
          <w:rFonts w:asciiTheme="minorHAnsi" w:hAnsiTheme="minorHAnsi" w:cstheme="minorHAnsi"/>
        </w:rPr>
        <w:t xml:space="preserve"> </w:t>
      </w:r>
      <w:r w:rsidRPr="0006450E">
        <w:rPr>
          <w:rFonts w:asciiTheme="minorHAnsi" w:hAnsiTheme="minorHAnsi" w:cstheme="minorHAnsi"/>
        </w:rPr>
        <w:t>sectors most frequently cited were retail (29%), general business (19%), and both banking and transport (8% each). Other areas of concern included entertainment, health, and employment services.</w:t>
      </w:r>
    </w:p>
    <w:p w14:paraId="74D478B3" w14:textId="391B95A4" w:rsidR="009D0B7D" w:rsidRPr="005F21E9" w:rsidRDefault="0006450E" w:rsidP="00A74DB2">
      <w:pPr>
        <w:spacing w:line="240" w:lineRule="auto"/>
        <w:rPr>
          <w:rFonts w:asciiTheme="minorHAnsi" w:hAnsiTheme="minorHAnsi" w:cstheme="minorHAnsi"/>
        </w:rPr>
      </w:pPr>
      <w:r w:rsidRPr="0006450E">
        <w:rPr>
          <w:rFonts w:asciiTheme="minorHAnsi" w:hAnsiTheme="minorHAnsi" w:cstheme="minorHAnsi"/>
        </w:rPr>
        <w:t>This feedback highlights the systemic nature of exclusion faced by people with disability and underscores the need for coordinated and widespread inclusion efforts across all industries and service sectors.</w:t>
      </w:r>
    </w:p>
    <w:p w14:paraId="1627622B" w14:textId="77777777" w:rsidR="009D0B7D" w:rsidRPr="00713D0A" w:rsidRDefault="009D0B7D" w:rsidP="00A74DB2">
      <w:pPr>
        <w:pStyle w:val="RecTitle"/>
        <w:rPr>
          <w:i w:val="0"/>
          <w:iCs/>
        </w:rPr>
      </w:pPr>
      <w:r w:rsidRPr="00713D0A">
        <w:rPr>
          <w:i w:val="0"/>
          <w:iCs/>
        </w:rPr>
        <w:t>Policy significance</w:t>
      </w:r>
    </w:p>
    <w:p w14:paraId="793DA21B" w14:textId="1EEC1526" w:rsidR="00D64474" w:rsidRPr="00080E4C" w:rsidRDefault="009D0B7D" w:rsidP="00080E4C">
      <w:pPr>
        <w:spacing w:line="240" w:lineRule="auto"/>
        <w:rPr>
          <w:rFonts w:asciiTheme="minorHAnsi" w:hAnsiTheme="minorHAnsi" w:cstheme="minorHAnsi"/>
        </w:rPr>
      </w:pPr>
      <w:r w:rsidRPr="005F21E9">
        <w:rPr>
          <w:rFonts w:asciiTheme="minorHAnsi" w:hAnsiTheme="minorHAnsi" w:cstheme="minorHAnsi"/>
        </w:rPr>
        <w:t xml:space="preserve">The provision of foundational supports is a growing political and social priority. According to a separate NDAN community survey, 80% of people with disability </w:t>
      </w:r>
      <w:r w:rsidRPr="009D0B7D">
        <w:rPr>
          <w:rFonts w:asciiTheme="minorHAnsi" w:hAnsiTheme="minorHAnsi" w:cstheme="minorHAnsi"/>
        </w:rPr>
        <w:t xml:space="preserve">in NSW </w:t>
      </w:r>
      <w:r w:rsidRPr="005F21E9">
        <w:rPr>
          <w:rFonts w:asciiTheme="minorHAnsi" w:hAnsiTheme="minorHAnsi" w:cstheme="minorHAnsi"/>
        </w:rPr>
        <w:t>reported they would be more likely to vote for a political party that committed to funding foundational supports</w:t>
      </w:r>
      <w:r w:rsidR="00B64A46">
        <w:rPr>
          <w:rFonts w:asciiTheme="minorHAnsi" w:hAnsiTheme="minorHAnsi" w:cstheme="minorHAnsi"/>
        </w:rPr>
        <w:t xml:space="preserve"> adequately</w:t>
      </w:r>
      <w:r w:rsidRPr="005F21E9">
        <w:rPr>
          <w:rFonts w:asciiTheme="minorHAnsi" w:hAnsiTheme="minorHAnsi" w:cstheme="minorHAnsi"/>
        </w:rPr>
        <w:t>. These findings highlight a clear policy imperative: without robust support structures outside the NDIS, many people with disability will remain underserved, excluded, and at risk.</w:t>
      </w:r>
    </w:p>
    <w:p w14:paraId="0CB440F2" w14:textId="77777777" w:rsidR="00642810" w:rsidRDefault="00642810" w:rsidP="00A74DB2">
      <w:pPr>
        <w:pStyle w:val="NoSpacing"/>
        <w:rPr>
          <w:rFonts w:asciiTheme="minorHAnsi" w:eastAsiaTheme="majorEastAsia" w:hAnsiTheme="minorHAnsi"/>
          <w:b/>
          <w:bCs/>
          <w:color w:val="2C4390"/>
          <w:sz w:val="26"/>
          <w:szCs w:val="26"/>
        </w:rPr>
      </w:pPr>
    </w:p>
    <w:p w14:paraId="68C7FCFD" w14:textId="290A56E4" w:rsidR="00C71D9E" w:rsidRDefault="00C71D9E" w:rsidP="00A74DB2">
      <w:pPr>
        <w:pStyle w:val="Heading1"/>
      </w:pPr>
      <w:bookmarkStart w:id="12" w:name="_Toc198202094"/>
      <w:r>
        <w:lastRenderedPageBreak/>
        <w:t>Further information on our recommendations</w:t>
      </w:r>
      <w:bookmarkEnd w:id="12"/>
    </w:p>
    <w:p w14:paraId="79A7C4D7" w14:textId="77777777" w:rsidR="00C71D9E" w:rsidRDefault="00C71D9E" w:rsidP="00A74DB2">
      <w:pPr>
        <w:pStyle w:val="NoSpacing"/>
        <w:rPr>
          <w:rFonts w:asciiTheme="minorHAnsi" w:eastAsiaTheme="majorEastAsia" w:hAnsiTheme="minorHAnsi"/>
          <w:b/>
          <w:bCs/>
          <w:color w:val="2C4390"/>
          <w:sz w:val="26"/>
          <w:szCs w:val="26"/>
        </w:rPr>
      </w:pPr>
    </w:p>
    <w:p w14:paraId="1BF28D3D" w14:textId="5B41780F" w:rsidR="003227A5" w:rsidRPr="00947269" w:rsidRDefault="31B9891F" w:rsidP="00A74DB2">
      <w:pPr>
        <w:pStyle w:val="Heading2"/>
        <w:rPr>
          <w:b/>
          <w:bCs/>
        </w:rPr>
      </w:pPr>
      <w:bookmarkStart w:id="13" w:name="_Toc198202095"/>
      <w:r w:rsidRPr="00947269">
        <w:rPr>
          <w:b/>
          <w:bCs/>
        </w:rPr>
        <w:t>Current Gaps and Risks</w:t>
      </w:r>
      <w:bookmarkEnd w:id="13"/>
    </w:p>
    <w:p w14:paraId="15B0FC22" w14:textId="5E605943" w:rsidR="00850ED7" w:rsidRPr="00850ED7" w:rsidRDefault="00850ED7" w:rsidP="00A74DB2">
      <w:pPr>
        <w:pStyle w:val="NoSpacing"/>
        <w:rPr>
          <w:rFonts w:asciiTheme="minorHAnsi" w:eastAsiaTheme="majorEastAsia" w:hAnsiTheme="minorHAnsi"/>
          <w:color w:val="000000" w:themeColor="text1"/>
        </w:rPr>
      </w:pPr>
      <w:r w:rsidRPr="00850ED7">
        <w:rPr>
          <w:rFonts w:asciiTheme="minorHAnsi" w:eastAsiaTheme="majorEastAsia" w:hAnsiTheme="minorHAnsi"/>
          <w:b/>
          <w:bCs/>
          <w:color w:val="2C4390"/>
          <w:sz w:val="26"/>
          <w:szCs w:val="26"/>
        </w:rPr>
        <w:br/>
      </w:r>
      <w:r w:rsidRPr="00850ED7">
        <w:rPr>
          <w:rFonts w:asciiTheme="minorHAnsi" w:eastAsiaTheme="majorEastAsia" w:hAnsiTheme="minorHAnsi"/>
          <w:color w:val="000000" w:themeColor="text1"/>
        </w:rPr>
        <w:t>Reforms to the NDIS are progressing ahead of the rollout of foundational supports, leaving many people with disability without access to essential services. This misalignment has created significant gaps in the support ecosystem, undermining the intended benefits of reform and reducing employment, health, and economic outcomes for all Australians. The lack of clarity around foundational supports has also fuelled community anxiety</w:t>
      </w:r>
      <w:r w:rsidR="00B64A46">
        <w:rPr>
          <w:rFonts w:asciiTheme="minorHAnsi" w:eastAsiaTheme="majorEastAsia" w:hAnsiTheme="minorHAnsi"/>
          <w:color w:val="000000" w:themeColor="text1"/>
        </w:rPr>
        <w:t xml:space="preserve">, </w:t>
      </w:r>
      <w:r w:rsidRPr="00850ED7">
        <w:rPr>
          <w:rFonts w:asciiTheme="minorHAnsi" w:eastAsiaTheme="majorEastAsia" w:hAnsiTheme="minorHAnsi"/>
          <w:color w:val="000000" w:themeColor="text1"/>
        </w:rPr>
        <w:t>particularly in the context of NDIS reassessments</w:t>
      </w:r>
      <w:r w:rsidR="00B64A46">
        <w:rPr>
          <w:rFonts w:asciiTheme="minorHAnsi" w:eastAsiaTheme="majorEastAsia" w:hAnsiTheme="minorHAnsi"/>
          <w:color w:val="000000" w:themeColor="text1"/>
        </w:rPr>
        <w:t xml:space="preserve">, </w:t>
      </w:r>
      <w:r w:rsidRPr="00850ED7">
        <w:rPr>
          <w:rFonts w:asciiTheme="minorHAnsi" w:eastAsiaTheme="majorEastAsia" w:hAnsiTheme="minorHAnsi"/>
          <w:color w:val="000000" w:themeColor="text1"/>
        </w:rPr>
        <w:t>raising concerns about the continuity and adequacy of support for people with disability across all age groups.</w:t>
      </w:r>
    </w:p>
    <w:p w14:paraId="175A405B" w14:textId="77777777" w:rsidR="00FF290B" w:rsidRDefault="00FF290B" w:rsidP="00A74DB2">
      <w:pPr>
        <w:pStyle w:val="NoSpacing"/>
        <w:rPr>
          <w:rFonts w:asciiTheme="minorHAnsi" w:eastAsiaTheme="majorEastAsia" w:hAnsiTheme="minorHAnsi" w:cstheme="minorHAnsi"/>
          <w:color w:val="000000" w:themeColor="text1"/>
        </w:rPr>
      </w:pPr>
    </w:p>
    <w:p w14:paraId="13B86BE3" w14:textId="77777777" w:rsidR="00FF290B" w:rsidRPr="00947269" w:rsidRDefault="00FF290B" w:rsidP="00A74DB2">
      <w:pPr>
        <w:pStyle w:val="RecTitle"/>
        <w:rPr>
          <w:i w:val="0"/>
          <w:iCs/>
        </w:rPr>
      </w:pPr>
      <w:r w:rsidRPr="00947269">
        <w:rPr>
          <w:i w:val="0"/>
          <w:iCs/>
        </w:rPr>
        <w:t>Service gaps outside the NDIS</w:t>
      </w:r>
    </w:p>
    <w:p w14:paraId="250FA853" w14:textId="77777777" w:rsidR="00FF290B" w:rsidRPr="005F21E9" w:rsidRDefault="00FF290B" w:rsidP="00A74DB2">
      <w:pPr>
        <w:spacing w:line="240" w:lineRule="auto"/>
        <w:rPr>
          <w:rFonts w:asciiTheme="minorHAnsi" w:hAnsiTheme="minorHAnsi" w:cstheme="minorHAnsi"/>
        </w:rPr>
      </w:pPr>
      <w:r>
        <w:rPr>
          <w:rFonts w:asciiTheme="minorHAnsi" w:hAnsiTheme="minorHAnsi" w:cstheme="minorHAnsi"/>
        </w:rPr>
        <w:t>Respondents to the PDCN Foundational Supports survey highlighted</w:t>
      </w:r>
      <w:r w:rsidRPr="005F21E9">
        <w:rPr>
          <w:rFonts w:asciiTheme="minorHAnsi" w:hAnsiTheme="minorHAnsi" w:cstheme="minorHAnsi"/>
        </w:rPr>
        <w:t xml:space="preserve"> the absence of consistent, affordable, and accessible supports for people not eligible for the NDIS. A majority (56.6%) indicated that adequate support options do not exist outside the scheme. This perception was reinforced by 54.4% of respondents stating that no such supports were available to them, with an additional 25% unsure.</w:t>
      </w:r>
    </w:p>
    <w:p w14:paraId="64B94F38" w14:textId="77777777" w:rsidR="00FF290B" w:rsidRPr="005F21E9" w:rsidRDefault="00FF290B" w:rsidP="00A74DB2">
      <w:pPr>
        <w:spacing w:line="240" w:lineRule="auto"/>
        <w:rPr>
          <w:rFonts w:asciiTheme="minorHAnsi" w:hAnsiTheme="minorHAnsi" w:cstheme="minorHAnsi"/>
        </w:rPr>
      </w:pPr>
      <w:r w:rsidRPr="005F21E9">
        <w:rPr>
          <w:rFonts w:asciiTheme="minorHAnsi" w:hAnsiTheme="minorHAnsi" w:cstheme="minorHAnsi"/>
        </w:rPr>
        <w:t>Satisfaction with current non-NDIS supports is also low. Just over half of respondents (50.9%) expressed some level of satisfaction, while 42.95% reported dissatisfaction, with “Strongly disagree” being the most common negative response (22.1%). These results reflect deep concern about the fragmented and inconsistent nature of existing systems and a reliance on informal support.</w:t>
      </w:r>
    </w:p>
    <w:p w14:paraId="3420F3BB" w14:textId="77777777" w:rsidR="00FF290B" w:rsidRPr="005F21E9" w:rsidRDefault="00FF290B" w:rsidP="00A74DB2">
      <w:pPr>
        <w:spacing w:line="240" w:lineRule="auto"/>
        <w:rPr>
          <w:rFonts w:asciiTheme="minorHAnsi" w:hAnsiTheme="minorHAnsi" w:cstheme="minorHAnsi"/>
        </w:rPr>
      </w:pPr>
      <w:r w:rsidRPr="005F21E9">
        <w:rPr>
          <w:rFonts w:asciiTheme="minorHAnsi" w:hAnsiTheme="minorHAnsi" w:cstheme="minorHAnsi"/>
        </w:rPr>
        <w:t>Critically, 85.8% of respondents believe that the NSW Government has a responsibility to fund additional disability services outside the NDIS.</w:t>
      </w:r>
    </w:p>
    <w:p w14:paraId="7082C455" w14:textId="15D91621" w:rsidR="000E645C" w:rsidRPr="00947269" w:rsidRDefault="004B1AE0" w:rsidP="00A74DB2">
      <w:pPr>
        <w:pStyle w:val="RecTitle"/>
        <w:rPr>
          <w:i w:val="0"/>
          <w:iCs/>
        </w:rPr>
      </w:pPr>
      <w:r w:rsidRPr="00947269">
        <w:rPr>
          <w:i w:val="0"/>
          <w:iCs/>
        </w:rPr>
        <w:t xml:space="preserve">Early Intervention </w:t>
      </w:r>
      <w:r w:rsidR="002B5223" w:rsidRPr="00947269">
        <w:rPr>
          <w:i w:val="0"/>
          <w:iCs/>
        </w:rPr>
        <w:t>and cohort focus</w:t>
      </w:r>
    </w:p>
    <w:p w14:paraId="7D4F6DAC" w14:textId="600065D9" w:rsidR="000E645C" w:rsidRPr="000E645C" w:rsidRDefault="000E645C" w:rsidP="00A74DB2">
      <w:pPr>
        <w:pStyle w:val="NoSpacing"/>
        <w:rPr>
          <w:rFonts w:asciiTheme="minorHAnsi" w:eastAsiaTheme="majorEastAsia" w:hAnsiTheme="minorHAnsi" w:cstheme="minorHAnsi"/>
          <w:color w:val="000000" w:themeColor="text1"/>
        </w:rPr>
      </w:pPr>
      <w:r w:rsidRPr="000E645C">
        <w:rPr>
          <w:rFonts w:asciiTheme="minorHAnsi" w:eastAsiaTheme="majorEastAsia" w:hAnsiTheme="minorHAnsi" w:cstheme="minorHAnsi"/>
          <w:color w:val="000000" w:themeColor="text1"/>
        </w:rPr>
        <w:t>Early intervention supports are increasingly difficult to access. Many now require an NDIS plan, creating significant barriers for families</w:t>
      </w:r>
      <w:r w:rsidR="00E46E30">
        <w:rPr>
          <w:rFonts w:asciiTheme="minorHAnsi" w:eastAsiaTheme="majorEastAsia" w:hAnsiTheme="minorHAnsi" w:cstheme="minorHAnsi"/>
          <w:color w:val="000000" w:themeColor="text1"/>
        </w:rPr>
        <w:t xml:space="preserve">, </w:t>
      </w:r>
      <w:r w:rsidRPr="000E645C">
        <w:rPr>
          <w:rFonts w:asciiTheme="minorHAnsi" w:eastAsiaTheme="majorEastAsia" w:hAnsiTheme="minorHAnsi" w:cstheme="minorHAnsi"/>
          <w:color w:val="000000" w:themeColor="text1"/>
        </w:rPr>
        <w:t>especially those from low-income, regional, or culturally and linguistically diverse (CALD) backgrounds</w:t>
      </w:r>
      <w:r w:rsidR="003A130F">
        <w:rPr>
          <w:rFonts w:asciiTheme="minorHAnsi" w:eastAsiaTheme="majorEastAsia" w:hAnsiTheme="minorHAnsi" w:cstheme="minorHAnsi"/>
          <w:color w:val="000000" w:themeColor="text1"/>
        </w:rPr>
        <w:t xml:space="preserve"> who face additional barriers to </w:t>
      </w:r>
      <w:r w:rsidR="008A2060">
        <w:rPr>
          <w:rFonts w:asciiTheme="minorHAnsi" w:eastAsiaTheme="majorEastAsia" w:hAnsiTheme="minorHAnsi" w:cstheme="minorHAnsi"/>
          <w:color w:val="000000" w:themeColor="text1"/>
        </w:rPr>
        <w:t>securing access to NDIS supports</w:t>
      </w:r>
      <w:r w:rsidRPr="000E645C">
        <w:rPr>
          <w:rFonts w:asciiTheme="minorHAnsi" w:eastAsiaTheme="majorEastAsia" w:hAnsiTheme="minorHAnsi" w:cstheme="minorHAnsi"/>
          <w:color w:val="000000" w:themeColor="text1"/>
        </w:rPr>
        <w:t>. Restrictive and inconsistent eligibility criteria further compound the problem, often compelling families to pursue formal diagnoses merely to qualify for support. This undermines the intent of early intervention and creates inequitable access.</w:t>
      </w:r>
    </w:p>
    <w:p w14:paraId="483099FE" w14:textId="77777777" w:rsidR="00A629DE" w:rsidRPr="00E46E30" w:rsidRDefault="00A629DE" w:rsidP="00A74DB2">
      <w:pPr>
        <w:pStyle w:val="NoSpacing"/>
        <w:rPr>
          <w:rFonts w:asciiTheme="minorHAnsi" w:eastAsiaTheme="majorEastAsia" w:hAnsiTheme="minorHAnsi" w:cstheme="minorHAnsi"/>
          <w:color w:val="000000" w:themeColor="text1"/>
        </w:rPr>
      </w:pPr>
    </w:p>
    <w:p w14:paraId="6B2F5A70" w14:textId="4ECE7169" w:rsidR="000E645C" w:rsidRPr="000E645C" w:rsidRDefault="00581049" w:rsidP="00A74DB2">
      <w:pPr>
        <w:pStyle w:val="NoSpacing"/>
        <w:rPr>
          <w:rFonts w:asciiTheme="minorHAnsi" w:eastAsiaTheme="majorEastAsia" w:hAnsiTheme="minorHAnsi" w:cstheme="minorHAnsi"/>
          <w:color w:val="000000" w:themeColor="text1"/>
        </w:rPr>
      </w:pPr>
      <w:r w:rsidRPr="00581049">
        <w:rPr>
          <w:rFonts w:asciiTheme="minorHAnsi" w:eastAsiaTheme="majorEastAsia" w:hAnsiTheme="minorHAnsi" w:cstheme="minorHAnsi"/>
          <w:color w:val="000000" w:themeColor="text1"/>
        </w:rPr>
        <w:t xml:space="preserve">PDCN is particularly concerned that the </w:t>
      </w:r>
      <w:r>
        <w:rPr>
          <w:rFonts w:asciiTheme="minorHAnsi" w:eastAsiaTheme="majorEastAsia" w:hAnsiTheme="minorHAnsi" w:cstheme="minorHAnsi"/>
          <w:color w:val="000000" w:themeColor="text1"/>
        </w:rPr>
        <w:t xml:space="preserve">NSW </w:t>
      </w:r>
      <w:r w:rsidRPr="00581049">
        <w:rPr>
          <w:rFonts w:asciiTheme="minorHAnsi" w:eastAsiaTheme="majorEastAsia" w:hAnsiTheme="minorHAnsi" w:cstheme="minorHAnsi"/>
          <w:color w:val="000000" w:themeColor="text1"/>
        </w:rPr>
        <w:t>Government has identified children under nine with developmental delay as a priority cohort for foundational supports without adequate consultation with the broader disability community. We are worried that this narrow focus risks overlooking the needs of other groups, particularly people with physical disabilities, those with acquired or degenerative conditions, and adults who require early or preventative intervention.</w:t>
      </w:r>
      <w:r>
        <w:rPr>
          <w:rFonts w:asciiTheme="minorHAnsi" w:eastAsiaTheme="majorEastAsia" w:hAnsiTheme="minorHAnsi" w:cstheme="minorHAnsi"/>
          <w:color w:val="000000" w:themeColor="text1"/>
        </w:rPr>
        <w:t xml:space="preserve"> </w:t>
      </w:r>
      <w:r w:rsidR="000E645C" w:rsidRPr="000E645C">
        <w:rPr>
          <w:rFonts w:asciiTheme="minorHAnsi" w:eastAsiaTheme="majorEastAsia" w:hAnsiTheme="minorHAnsi" w:cstheme="minorHAnsi"/>
          <w:color w:val="000000" w:themeColor="text1"/>
        </w:rPr>
        <w:t xml:space="preserve">While children with developmental delay </w:t>
      </w:r>
      <w:r w:rsidR="00162DC2">
        <w:rPr>
          <w:rFonts w:asciiTheme="minorHAnsi" w:eastAsiaTheme="majorEastAsia" w:hAnsiTheme="minorHAnsi" w:cstheme="minorHAnsi"/>
          <w:color w:val="000000" w:themeColor="text1"/>
        </w:rPr>
        <w:t>must</w:t>
      </w:r>
      <w:r w:rsidR="000E645C" w:rsidRPr="000E645C">
        <w:rPr>
          <w:rFonts w:asciiTheme="minorHAnsi" w:eastAsiaTheme="majorEastAsia" w:hAnsiTheme="minorHAnsi" w:cstheme="minorHAnsi"/>
          <w:color w:val="000000" w:themeColor="text1"/>
        </w:rPr>
        <w:t xml:space="preserve"> be supported, foundational supports must be inclusive of all disability cohorts across the life course.</w:t>
      </w:r>
    </w:p>
    <w:p w14:paraId="40DC738B" w14:textId="77777777" w:rsidR="00A629DE" w:rsidRPr="00E46E30" w:rsidRDefault="00A629DE" w:rsidP="00A74DB2">
      <w:pPr>
        <w:pStyle w:val="NoSpacing"/>
        <w:rPr>
          <w:rFonts w:asciiTheme="minorHAnsi" w:eastAsiaTheme="majorEastAsia" w:hAnsiTheme="minorHAnsi" w:cstheme="minorHAnsi"/>
          <w:color w:val="000000" w:themeColor="text1"/>
        </w:rPr>
      </w:pPr>
    </w:p>
    <w:p w14:paraId="729A053A" w14:textId="3580002D" w:rsidR="00A629DE" w:rsidRPr="00E46E30" w:rsidRDefault="000E645C" w:rsidP="00A74DB2">
      <w:pPr>
        <w:pStyle w:val="NoSpacing"/>
        <w:rPr>
          <w:rFonts w:asciiTheme="minorHAnsi" w:eastAsiaTheme="majorEastAsia" w:hAnsiTheme="minorHAnsi" w:cstheme="minorHAnsi"/>
          <w:color w:val="000000" w:themeColor="text1"/>
        </w:rPr>
      </w:pPr>
      <w:r w:rsidRPr="000E645C">
        <w:rPr>
          <w:rFonts w:asciiTheme="minorHAnsi" w:eastAsiaTheme="majorEastAsia" w:hAnsiTheme="minorHAnsi" w:cstheme="minorHAnsi"/>
          <w:color w:val="000000" w:themeColor="text1"/>
        </w:rPr>
        <w:t>There is also a risk that foundational supports will not be equitably extended to all children with disabilities. For example, children with neuromuscular or degenerative conditions often require targeted supports like accessible camps, inclusive playgrounds, peer mentoring, and mental health support</w:t>
      </w:r>
      <w:r w:rsidR="00FF03A4">
        <w:rPr>
          <w:rFonts w:asciiTheme="minorHAnsi" w:eastAsiaTheme="majorEastAsia" w:hAnsiTheme="minorHAnsi" w:cstheme="minorHAnsi"/>
          <w:color w:val="000000" w:themeColor="text1"/>
        </w:rPr>
        <w:t xml:space="preserve">, which are </w:t>
      </w:r>
      <w:r w:rsidRPr="000E645C">
        <w:rPr>
          <w:rFonts w:asciiTheme="minorHAnsi" w:eastAsiaTheme="majorEastAsia" w:hAnsiTheme="minorHAnsi" w:cstheme="minorHAnsi"/>
          <w:color w:val="000000" w:themeColor="text1"/>
        </w:rPr>
        <w:t xml:space="preserve">services not always available through mainstream channels. Similarly, parents with intellectual disabilities need foundational supports to assist their children in accessing education, health care, and social inclusion. These gaps highlight the importance of targeted supports that address the full diversity of disability experiences and life circumstances. </w:t>
      </w:r>
    </w:p>
    <w:p w14:paraId="169E2097" w14:textId="77777777" w:rsidR="00A629DE" w:rsidRPr="00E46E30" w:rsidRDefault="00A629DE" w:rsidP="00A74DB2">
      <w:pPr>
        <w:pStyle w:val="NoSpacing"/>
        <w:rPr>
          <w:rFonts w:asciiTheme="minorHAnsi" w:eastAsiaTheme="majorEastAsia" w:hAnsiTheme="minorHAnsi" w:cstheme="minorHAnsi"/>
          <w:color w:val="000000" w:themeColor="text1"/>
        </w:rPr>
      </w:pPr>
    </w:p>
    <w:p w14:paraId="24BD89AA" w14:textId="3E2AD7CC" w:rsidR="000E645C" w:rsidRPr="000E645C" w:rsidRDefault="000E645C" w:rsidP="00A74DB2">
      <w:pPr>
        <w:pStyle w:val="NoSpacing"/>
        <w:rPr>
          <w:rFonts w:asciiTheme="minorHAnsi" w:eastAsiaTheme="majorEastAsia" w:hAnsiTheme="minorHAnsi" w:cstheme="minorHAnsi"/>
          <w:color w:val="000000" w:themeColor="text1"/>
        </w:rPr>
      </w:pPr>
      <w:r w:rsidRPr="000E645C">
        <w:rPr>
          <w:rFonts w:asciiTheme="minorHAnsi" w:eastAsiaTheme="majorEastAsia" w:hAnsiTheme="minorHAnsi" w:cstheme="minorHAnsi"/>
          <w:color w:val="000000" w:themeColor="text1"/>
        </w:rPr>
        <w:lastRenderedPageBreak/>
        <w:t>Advocacy organisations are well placed to provide cohort-informed advice on how foundational supports can be designed and delivered inclusively.</w:t>
      </w:r>
      <w:r w:rsidR="00907414">
        <w:rPr>
          <w:rFonts w:asciiTheme="minorHAnsi" w:eastAsiaTheme="majorEastAsia" w:hAnsiTheme="minorHAnsi" w:cstheme="minorHAnsi"/>
          <w:color w:val="000000" w:themeColor="text1"/>
        </w:rPr>
        <w:t xml:space="preserve"> </w:t>
      </w:r>
      <w:r w:rsidRPr="000E645C">
        <w:rPr>
          <w:rFonts w:asciiTheme="minorHAnsi" w:eastAsiaTheme="majorEastAsia" w:hAnsiTheme="minorHAnsi" w:cstheme="minorHAnsi"/>
          <w:color w:val="000000" w:themeColor="text1"/>
        </w:rPr>
        <w:t>Without urgent investment and greater clarity in the foundational supports framework, these service gaps will continue to widen</w:t>
      </w:r>
      <w:r w:rsidR="00642810">
        <w:rPr>
          <w:rFonts w:asciiTheme="minorHAnsi" w:eastAsiaTheme="majorEastAsia" w:hAnsiTheme="minorHAnsi" w:cstheme="minorHAnsi"/>
          <w:color w:val="000000" w:themeColor="text1"/>
        </w:rPr>
        <w:t xml:space="preserve">, </w:t>
      </w:r>
      <w:r w:rsidRPr="000E645C">
        <w:rPr>
          <w:rFonts w:asciiTheme="minorHAnsi" w:eastAsiaTheme="majorEastAsia" w:hAnsiTheme="minorHAnsi" w:cstheme="minorHAnsi"/>
          <w:color w:val="000000" w:themeColor="text1"/>
        </w:rPr>
        <w:t>placing greater pressure on individuals, families, and existing service systems.</w:t>
      </w:r>
    </w:p>
    <w:p w14:paraId="5808BEF4" w14:textId="77777777" w:rsidR="000E645C" w:rsidRPr="003227A5" w:rsidRDefault="000E645C" w:rsidP="00A74DB2">
      <w:pPr>
        <w:pStyle w:val="NoSpacing"/>
        <w:rPr>
          <w:rFonts w:asciiTheme="minorHAnsi" w:eastAsiaTheme="majorEastAsia" w:hAnsiTheme="minorHAnsi" w:cstheme="minorHAnsi"/>
          <w:b/>
          <w:bCs/>
          <w:color w:val="000000" w:themeColor="text1"/>
        </w:rPr>
      </w:pPr>
    </w:p>
    <w:p w14:paraId="36819BEC" w14:textId="77777777" w:rsidR="00A74DB2" w:rsidRDefault="00A74DB2" w:rsidP="00A74DB2">
      <w:pPr>
        <w:pStyle w:val="RecTitle"/>
        <w:rPr>
          <w:i w:val="0"/>
          <w:iCs/>
        </w:rPr>
      </w:pPr>
    </w:p>
    <w:p w14:paraId="624A1808" w14:textId="1747BF46" w:rsidR="002E468C" w:rsidRPr="00947269" w:rsidRDefault="002E468C" w:rsidP="00A74DB2">
      <w:pPr>
        <w:pStyle w:val="RecTitle"/>
        <w:rPr>
          <w:i w:val="0"/>
          <w:iCs/>
        </w:rPr>
      </w:pPr>
      <w:r w:rsidRPr="00947269">
        <w:rPr>
          <w:i w:val="0"/>
          <w:iCs/>
        </w:rPr>
        <w:t>Designing Effective Foundational Supports</w:t>
      </w:r>
    </w:p>
    <w:p w14:paraId="45D2BC38" w14:textId="77777777" w:rsidR="00200B2F" w:rsidRDefault="00200B2F" w:rsidP="00A74DB2">
      <w:pPr>
        <w:pStyle w:val="NoSpacing"/>
        <w:rPr>
          <w:rFonts w:asciiTheme="minorHAnsi" w:hAnsiTheme="minorHAnsi" w:cstheme="minorHAnsi"/>
        </w:rPr>
      </w:pPr>
      <w:r w:rsidRPr="002E468C">
        <w:rPr>
          <w:rFonts w:asciiTheme="minorHAnsi" w:hAnsiTheme="minorHAnsi" w:cstheme="minorHAnsi"/>
        </w:rPr>
        <w:t>A key recommendation from the 2023 NDIS Review was the introduction of Foundational Supports Navigators. These roles are intended to help people with disability access a broad range of supports outside the NDIS. Navigators would be responsible for bridging the divide between health, disability, education, aged care, and community services—particularly for individuals who are not eligible for the NDIS or are having difficulty navigating the system.</w:t>
      </w:r>
    </w:p>
    <w:p w14:paraId="0F708C91" w14:textId="77777777" w:rsidR="00200B2F" w:rsidRDefault="00200B2F" w:rsidP="00A74DB2">
      <w:pPr>
        <w:pStyle w:val="NoSpacing"/>
        <w:rPr>
          <w:rFonts w:asciiTheme="minorHAnsi" w:hAnsiTheme="minorHAnsi" w:cstheme="minorHAnsi"/>
        </w:rPr>
      </w:pPr>
    </w:p>
    <w:p w14:paraId="78F8ACF7" w14:textId="0A4D4BCB" w:rsidR="002E468C" w:rsidRDefault="00A60AE0" w:rsidP="00A74DB2">
      <w:pPr>
        <w:pStyle w:val="NoSpacing"/>
        <w:rPr>
          <w:rFonts w:asciiTheme="minorHAnsi" w:hAnsiTheme="minorHAnsi" w:cstheme="minorHAnsi"/>
        </w:rPr>
      </w:pPr>
      <w:r>
        <w:rPr>
          <w:rFonts w:asciiTheme="minorHAnsi" w:hAnsiTheme="minorHAnsi" w:cstheme="minorHAnsi"/>
        </w:rPr>
        <w:t>PDCN supports</w:t>
      </w:r>
      <w:r w:rsidR="002E468C" w:rsidRPr="002E468C">
        <w:rPr>
          <w:rFonts w:asciiTheme="minorHAnsi" w:hAnsiTheme="minorHAnsi" w:cstheme="minorHAnsi"/>
        </w:rPr>
        <w:t xml:space="preserve"> a triaged</w:t>
      </w:r>
      <w:r w:rsidR="006B4499">
        <w:rPr>
          <w:rFonts w:asciiTheme="minorHAnsi" w:hAnsiTheme="minorHAnsi" w:cstheme="minorHAnsi"/>
        </w:rPr>
        <w:t>, localised</w:t>
      </w:r>
      <w:r w:rsidR="002E468C" w:rsidRPr="002E468C">
        <w:rPr>
          <w:rFonts w:asciiTheme="minorHAnsi" w:hAnsiTheme="minorHAnsi" w:cstheme="minorHAnsi"/>
        </w:rPr>
        <w:t xml:space="preserve"> gateway model led by trained, local Navigators who can guide individuals to the most appropriate combination of NDIS, foundational, and mainstream supports. This model has the potential to ease administrative burdens, improve service navigation, and deliver </w:t>
      </w:r>
      <w:r w:rsidRPr="002E468C">
        <w:rPr>
          <w:rFonts w:asciiTheme="minorHAnsi" w:hAnsiTheme="minorHAnsi" w:cstheme="minorHAnsi"/>
        </w:rPr>
        <w:t>benefits</w:t>
      </w:r>
      <w:r w:rsidR="002E468C" w:rsidRPr="002E468C">
        <w:rPr>
          <w:rFonts w:asciiTheme="minorHAnsi" w:hAnsiTheme="minorHAnsi" w:cstheme="minorHAnsi"/>
        </w:rPr>
        <w:t xml:space="preserve"> in regional and remote areas.</w:t>
      </w:r>
      <w:r w:rsidR="00ED42E5">
        <w:rPr>
          <w:rFonts w:asciiTheme="minorHAnsi" w:hAnsiTheme="minorHAnsi" w:cstheme="minorHAnsi"/>
        </w:rPr>
        <w:t xml:space="preserve"> </w:t>
      </w:r>
      <w:r w:rsidR="002E468C" w:rsidRPr="002E468C">
        <w:rPr>
          <w:rFonts w:asciiTheme="minorHAnsi" w:hAnsiTheme="minorHAnsi" w:cstheme="minorHAnsi"/>
        </w:rPr>
        <w:t>Currently, many people with disabilit</w:t>
      </w:r>
      <w:r w:rsidR="00D11F34">
        <w:rPr>
          <w:rFonts w:asciiTheme="minorHAnsi" w:hAnsiTheme="minorHAnsi" w:cstheme="minorHAnsi"/>
        </w:rPr>
        <w:t>ies</w:t>
      </w:r>
      <w:r w:rsidR="002E468C" w:rsidRPr="002E468C">
        <w:rPr>
          <w:rFonts w:asciiTheme="minorHAnsi" w:hAnsiTheme="minorHAnsi" w:cstheme="minorHAnsi"/>
        </w:rPr>
        <w:t xml:space="preserve"> first seek assistance through hospitals or general practitioners. However, the focus in these settings is typically on immediate discharge, rather than long-term support planning. As a result, individuals often miss out on sustained assistance from the NDIS or other foundational and mainstream services.</w:t>
      </w:r>
    </w:p>
    <w:p w14:paraId="662ABC36" w14:textId="77777777" w:rsidR="00A60AE0" w:rsidRPr="002E468C" w:rsidRDefault="00A60AE0" w:rsidP="00A74DB2">
      <w:pPr>
        <w:pStyle w:val="NoSpacing"/>
        <w:rPr>
          <w:rFonts w:asciiTheme="minorHAnsi" w:hAnsiTheme="minorHAnsi" w:cstheme="minorHAnsi"/>
        </w:rPr>
      </w:pPr>
    </w:p>
    <w:p w14:paraId="1B37855C" w14:textId="733917E7" w:rsidR="00A60AE0" w:rsidRPr="002E468C" w:rsidRDefault="002E468C" w:rsidP="00A74DB2">
      <w:pPr>
        <w:pStyle w:val="NoSpacing"/>
        <w:rPr>
          <w:rFonts w:asciiTheme="minorHAnsi" w:hAnsiTheme="minorHAnsi" w:cstheme="minorHAnsi"/>
        </w:rPr>
      </w:pPr>
      <w:r w:rsidRPr="002E468C">
        <w:rPr>
          <w:rFonts w:asciiTheme="minorHAnsi" w:hAnsiTheme="minorHAnsi" w:cstheme="minorHAnsi"/>
        </w:rPr>
        <w:t xml:space="preserve">To address these gaps, there is a need for a more integrated, person-centred system that ensures a “soft landing” into the broader support ecosystem. A triage and navigation approach </w:t>
      </w:r>
      <w:r w:rsidR="00ED42E5">
        <w:rPr>
          <w:rFonts w:asciiTheme="minorHAnsi" w:hAnsiTheme="minorHAnsi" w:cstheme="minorHAnsi"/>
        </w:rPr>
        <w:t>c</w:t>
      </w:r>
      <w:r w:rsidRPr="002E468C">
        <w:rPr>
          <w:rFonts w:asciiTheme="minorHAnsi" w:hAnsiTheme="minorHAnsi" w:cstheme="minorHAnsi"/>
        </w:rPr>
        <w:t>ould minimise bureaucratic hurdles and support smooth transitions between systems. Local Navigators should be equipped with the authority, knowledge, and referral pathways to respond effectively to the diverse needs of individuals.</w:t>
      </w:r>
      <w:r w:rsidR="00A279C0" w:rsidRPr="00A279C0">
        <w:rPr>
          <w:rFonts w:asciiTheme="minorHAnsi" w:hAnsiTheme="minorHAnsi" w:cstheme="minorHAnsi"/>
        </w:rPr>
        <w:t xml:space="preserve"> </w:t>
      </w:r>
      <w:r w:rsidR="00A279C0" w:rsidRPr="002E468C">
        <w:rPr>
          <w:rFonts w:asciiTheme="minorHAnsi" w:hAnsiTheme="minorHAnsi" w:cstheme="minorHAnsi"/>
        </w:rPr>
        <w:t>Navigators could assist people as they move between service systems and help identify and connect individuals to supports before a crisis occurs.</w:t>
      </w:r>
    </w:p>
    <w:p w14:paraId="3174B3AD" w14:textId="77777777" w:rsidR="00A60AE0" w:rsidRPr="002E468C" w:rsidRDefault="00A60AE0" w:rsidP="00A74DB2">
      <w:pPr>
        <w:pStyle w:val="NoSpacing"/>
        <w:rPr>
          <w:rFonts w:asciiTheme="minorHAnsi" w:hAnsiTheme="minorHAnsi" w:cstheme="minorHAnsi"/>
        </w:rPr>
      </w:pPr>
    </w:p>
    <w:p w14:paraId="2F18F7BB" w14:textId="77777777" w:rsidR="00601893" w:rsidRDefault="00601893" w:rsidP="00A74DB2">
      <w:pPr>
        <w:pStyle w:val="NoSpacing"/>
        <w:rPr>
          <w:rFonts w:asciiTheme="minorHAnsi" w:hAnsiTheme="minorHAnsi" w:cstheme="minorHAnsi"/>
        </w:rPr>
      </w:pPr>
      <w:r w:rsidRPr="002E468C">
        <w:rPr>
          <w:rFonts w:asciiTheme="minorHAnsi" w:hAnsiTheme="minorHAnsi" w:cstheme="minorHAnsi"/>
        </w:rPr>
        <w:t xml:space="preserve">Effective foundational supports must prioritise individual choice and control, be accessible and flexible, and operate within a regulated and transparent framework. However, </w:t>
      </w:r>
      <w:r>
        <w:rPr>
          <w:rFonts w:asciiTheme="minorHAnsi" w:hAnsiTheme="minorHAnsi" w:cstheme="minorHAnsi"/>
        </w:rPr>
        <w:t xml:space="preserve">PDCN </w:t>
      </w:r>
      <w:r w:rsidRPr="002E468C">
        <w:rPr>
          <w:rFonts w:asciiTheme="minorHAnsi" w:hAnsiTheme="minorHAnsi" w:cstheme="minorHAnsi"/>
        </w:rPr>
        <w:t>survey participants raised concerns about the current system, citing issues such as unqualified staff, confusing pricing structures, and fragmented services. There is a clear call for more coordinated, person-centred service delivery.</w:t>
      </w:r>
    </w:p>
    <w:p w14:paraId="4A2AD7A6" w14:textId="77777777" w:rsidR="00601893" w:rsidRDefault="00601893" w:rsidP="00A74DB2">
      <w:pPr>
        <w:pStyle w:val="NoSpacing"/>
        <w:rPr>
          <w:rFonts w:asciiTheme="minorHAnsi" w:hAnsiTheme="minorHAnsi" w:cstheme="minorHAnsi"/>
        </w:rPr>
      </w:pPr>
    </w:p>
    <w:p w14:paraId="08BD792B" w14:textId="4EB9D4F0" w:rsidR="002E468C" w:rsidRDefault="002E468C" w:rsidP="00A74DB2">
      <w:pPr>
        <w:pStyle w:val="NoSpacing"/>
        <w:rPr>
          <w:rFonts w:asciiTheme="minorHAnsi" w:hAnsiTheme="minorHAnsi" w:cstheme="minorHAnsi"/>
        </w:rPr>
      </w:pPr>
      <w:r w:rsidRPr="002E468C">
        <w:rPr>
          <w:rFonts w:asciiTheme="minorHAnsi" w:hAnsiTheme="minorHAnsi" w:cstheme="minorHAnsi"/>
        </w:rPr>
        <w:t>To further reduce the burden on individuals, a whole-of-government customer service model should be considered. This would allow relevant agencies to securely share documents and information, eliminating the need for individuals to repeat their story multiple times. Such an approach would promote continuity of support and help people achieve their goals.</w:t>
      </w:r>
    </w:p>
    <w:p w14:paraId="6E80716B" w14:textId="77777777" w:rsidR="00A60AE0" w:rsidRPr="002E468C" w:rsidRDefault="00A60AE0" w:rsidP="00A74DB2">
      <w:pPr>
        <w:pStyle w:val="NoSpacing"/>
        <w:rPr>
          <w:rFonts w:asciiTheme="minorHAnsi" w:hAnsiTheme="minorHAnsi" w:cstheme="minorHAnsi"/>
        </w:rPr>
      </w:pPr>
    </w:p>
    <w:p w14:paraId="7CF301C2" w14:textId="31F56D91" w:rsidR="002E468C" w:rsidRPr="002E468C" w:rsidRDefault="002E468C" w:rsidP="00A74DB2">
      <w:pPr>
        <w:pStyle w:val="NoSpacing"/>
        <w:rPr>
          <w:rFonts w:asciiTheme="minorHAnsi" w:hAnsiTheme="minorHAnsi" w:cstheme="minorHAnsi"/>
        </w:rPr>
      </w:pPr>
      <w:r w:rsidRPr="002E468C">
        <w:rPr>
          <w:rFonts w:asciiTheme="minorHAnsi" w:hAnsiTheme="minorHAnsi" w:cstheme="minorHAnsi"/>
        </w:rPr>
        <w:t>The professionalisation of Navigators and disability support workers through structured education and training is essential. Support should also be embedded in sectors such as education, where allied health professionals are needed to ensure that children with disability receive timely and appropriate assistance. Overall, foundational supports must be designed to provide early, localised, and expert-led guidance that reduces red tape, ensures continuity, and promotes inclusion at every life stage.</w:t>
      </w:r>
    </w:p>
    <w:p w14:paraId="6DAD6B31" w14:textId="77777777" w:rsidR="008F576F" w:rsidRPr="00AC7AA4" w:rsidRDefault="008F576F" w:rsidP="00A74DB2">
      <w:pPr>
        <w:pStyle w:val="NoSpacing"/>
        <w:rPr>
          <w:rFonts w:asciiTheme="minorHAnsi" w:eastAsiaTheme="majorEastAsia" w:hAnsiTheme="minorHAnsi" w:cstheme="minorHAnsi"/>
          <w:color w:val="000000" w:themeColor="text1"/>
        </w:rPr>
      </w:pPr>
    </w:p>
    <w:p w14:paraId="42B4430D" w14:textId="77777777" w:rsidR="008036BD" w:rsidRPr="00D76596" w:rsidRDefault="008036BD" w:rsidP="00A74DB2">
      <w:pPr>
        <w:spacing w:line="240" w:lineRule="auto"/>
        <w:rPr>
          <w:rFonts w:asciiTheme="minorHAnsi" w:hAnsiTheme="minorHAnsi" w:cstheme="minorHAnsi"/>
        </w:rPr>
      </w:pPr>
    </w:p>
    <w:p w14:paraId="4E12F2DE" w14:textId="77777777" w:rsidR="00AC7AA4" w:rsidRPr="007D3C4A" w:rsidRDefault="00AC7AA4" w:rsidP="00A74DB2">
      <w:pPr>
        <w:pStyle w:val="Heading1"/>
      </w:pPr>
      <w:bookmarkStart w:id="14" w:name="_Toc198202096"/>
      <w:r w:rsidRPr="007D3C4A">
        <w:lastRenderedPageBreak/>
        <w:t>Advocacy Organisations and Foundational Supports</w:t>
      </w:r>
      <w:bookmarkEnd w:id="14"/>
    </w:p>
    <w:p w14:paraId="1186BB80" w14:textId="77777777" w:rsidR="00AC7AA4" w:rsidRPr="007D3C4A" w:rsidRDefault="00AC7AA4" w:rsidP="00A74DB2">
      <w:pPr>
        <w:pStyle w:val="Heading2"/>
        <w:rPr>
          <w:b/>
          <w:bCs/>
        </w:rPr>
      </w:pPr>
    </w:p>
    <w:p w14:paraId="6F714D6B" w14:textId="4811D91B" w:rsidR="00AC7AA4" w:rsidRPr="00AC7AA4" w:rsidRDefault="00AC7AA4" w:rsidP="00A74DB2">
      <w:pPr>
        <w:pStyle w:val="Heading2"/>
        <w:rPr>
          <w:b/>
          <w:bCs/>
        </w:rPr>
      </w:pPr>
      <w:bookmarkStart w:id="15" w:name="_Toc198202097"/>
      <w:r w:rsidRPr="007D3C4A">
        <w:rPr>
          <w:b/>
          <w:bCs/>
        </w:rPr>
        <w:t>Role and Impact of Advocacy Organisations</w:t>
      </w:r>
      <w:bookmarkEnd w:id="15"/>
    </w:p>
    <w:p w14:paraId="29DEA098" w14:textId="7D5BA68C" w:rsidR="00AC7AA4" w:rsidRDefault="00AC7AA4" w:rsidP="00A74DB2">
      <w:pPr>
        <w:pStyle w:val="NoSpacing"/>
        <w:rPr>
          <w:rFonts w:asciiTheme="minorHAnsi" w:eastAsiaTheme="majorEastAsia" w:hAnsiTheme="minorHAnsi" w:cstheme="minorHAnsi"/>
          <w:color w:val="000000" w:themeColor="text1"/>
        </w:rPr>
      </w:pPr>
      <w:r w:rsidRPr="00AC7AA4">
        <w:rPr>
          <w:rFonts w:asciiTheme="minorHAnsi" w:eastAsiaTheme="majorEastAsia" w:hAnsiTheme="minorHAnsi" w:cstheme="minorHAnsi"/>
          <w:color w:val="000000" w:themeColor="text1"/>
        </w:rPr>
        <w:t>Disability advocacy organisations play a vital role in both individual and systemic support. Many already deliver services that align with the intent of foundational supports</w:t>
      </w:r>
      <w:r w:rsidR="00A22E0D">
        <w:rPr>
          <w:rFonts w:asciiTheme="minorHAnsi" w:eastAsiaTheme="majorEastAsia" w:hAnsiTheme="minorHAnsi" w:cstheme="minorHAnsi"/>
          <w:color w:val="000000" w:themeColor="text1"/>
        </w:rPr>
        <w:t xml:space="preserve">, </w:t>
      </w:r>
      <w:r w:rsidRPr="00AC7AA4">
        <w:rPr>
          <w:rFonts w:asciiTheme="minorHAnsi" w:eastAsiaTheme="majorEastAsia" w:hAnsiTheme="minorHAnsi" w:cstheme="minorHAnsi"/>
          <w:color w:val="000000" w:themeColor="text1"/>
        </w:rPr>
        <w:t>such as peer mentoring, self-advocacy workshops, rights education, and leadership development. These programs empower people with disability to understand and navigate support systems, assert their rights, and connect with others who share similar experiences. Such services are particularly important for individuals who have fallen through the gaps of the NDIS and broader service systems.</w:t>
      </w:r>
    </w:p>
    <w:p w14:paraId="6C5E1D35" w14:textId="77777777" w:rsidR="00E46E30" w:rsidRPr="00AC7AA4" w:rsidRDefault="00E46E30" w:rsidP="00A74DB2">
      <w:pPr>
        <w:pStyle w:val="NoSpacing"/>
        <w:rPr>
          <w:rFonts w:asciiTheme="minorHAnsi" w:eastAsiaTheme="majorEastAsia" w:hAnsiTheme="minorHAnsi" w:cstheme="minorHAnsi"/>
          <w:color w:val="000000" w:themeColor="text1"/>
        </w:rPr>
      </w:pPr>
    </w:p>
    <w:p w14:paraId="41469DCB" w14:textId="77777777" w:rsidR="00E46E30" w:rsidRDefault="00AC7AA4" w:rsidP="00A74DB2">
      <w:pPr>
        <w:pStyle w:val="NoSpacing"/>
        <w:rPr>
          <w:rFonts w:asciiTheme="minorHAnsi" w:eastAsiaTheme="majorEastAsia" w:hAnsiTheme="minorHAnsi" w:cstheme="minorHAnsi"/>
          <w:color w:val="000000" w:themeColor="text1"/>
        </w:rPr>
      </w:pPr>
      <w:r w:rsidRPr="00AC7AA4">
        <w:rPr>
          <w:rFonts w:asciiTheme="minorHAnsi" w:eastAsiaTheme="majorEastAsia" w:hAnsiTheme="minorHAnsi" w:cstheme="minorHAnsi"/>
          <w:color w:val="000000" w:themeColor="text1"/>
        </w:rPr>
        <w:t>However, advocacy organisations are often engaged only as a last resort, due to the lack of accessible, early supports. A 2022 Melbourne Disability Institute study found that 90% of surveyed adults without NDIS funding considered the available support outside the Scheme to be inadequate</w:t>
      </w:r>
      <w:r w:rsidR="000F6493" w:rsidRPr="00D76596">
        <w:rPr>
          <w:rStyle w:val="FootnoteReference"/>
          <w:rFonts w:asciiTheme="minorHAnsi" w:eastAsiaTheme="majorEastAsia" w:hAnsiTheme="minorHAnsi" w:cstheme="minorHAnsi"/>
          <w:color w:val="000000" w:themeColor="text1"/>
        </w:rPr>
        <w:footnoteReference w:id="3"/>
      </w:r>
      <w:r w:rsidRPr="00AC7AA4">
        <w:rPr>
          <w:rFonts w:asciiTheme="minorHAnsi" w:eastAsiaTheme="majorEastAsia" w:hAnsiTheme="minorHAnsi" w:cstheme="minorHAnsi"/>
          <w:color w:val="000000" w:themeColor="text1"/>
        </w:rPr>
        <w:t xml:space="preserve">. </w:t>
      </w:r>
    </w:p>
    <w:p w14:paraId="6B84E163" w14:textId="77777777" w:rsidR="00E46E30" w:rsidRDefault="00E46E30" w:rsidP="00A74DB2">
      <w:pPr>
        <w:pStyle w:val="NoSpacing"/>
        <w:rPr>
          <w:rFonts w:asciiTheme="minorHAnsi" w:eastAsiaTheme="majorEastAsia" w:hAnsiTheme="minorHAnsi" w:cstheme="minorHAnsi"/>
          <w:color w:val="000000" w:themeColor="text1"/>
        </w:rPr>
      </w:pPr>
    </w:p>
    <w:p w14:paraId="5CC3AFBF" w14:textId="734D0DF0" w:rsidR="00AC7AA4" w:rsidRPr="00AC7AA4" w:rsidRDefault="31B9891F" w:rsidP="00A74DB2">
      <w:pPr>
        <w:pStyle w:val="NoSpacing"/>
        <w:rPr>
          <w:rFonts w:asciiTheme="minorHAnsi" w:eastAsiaTheme="majorEastAsia" w:hAnsiTheme="minorHAnsi"/>
          <w:color w:val="000000" w:themeColor="text1"/>
        </w:rPr>
      </w:pPr>
      <w:r w:rsidRPr="31B9891F">
        <w:rPr>
          <w:rFonts w:asciiTheme="minorHAnsi" w:eastAsiaTheme="majorEastAsia" w:hAnsiTheme="minorHAnsi"/>
          <w:color w:val="000000" w:themeColor="text1"/>
        </w:rPr>
        <w:t>For families supporting children with disability the responsibility of identifying and coordinating supports often falls entirely on them. PDCN’s parent peer groups provide crucial support, but the demand far exceeds capacity, highlighting the broader need for structured foundational supports that extend beyond informal peer connection.</w:t>
      </w:r>
    </w:p>
    <w:p w14:paraId="15C08BD9" w14:textId="742BFC60" w:rsidR="00AC7AA4" w:rsidRPr="00AC7AA4" w:rsidRDefault="00AC7AA4" w:rsidP="00A74DB2">
      <w:pPr>
        <w:pStyle w:val="NoSpacing"/>
        <w:rPr>
          <w:rFonts w:asciiTheme="minorHAnsi" w:eastAsiaTheme="majorEastAsia" w:hAnsiTheme="minorHAnsi" w:cstheme="minorHAnsi"/>
          <w:color w:val="000000" w:themeColor="text1"/>
        </w:rPr>
      </w:pPr>
    </w:p>
    <w:p w14:paraId="022E134E" w14:textId="23605017" w:rsidR="00AC7AA4" w:rsidRPr="00AC7AA4" w:rsidRDefault="00AC7AA4" w:rsidP="00A74DB2">
      <w:pPr>
        <w:pStyle w:val="Heading2"/>
        <w:rPr>
          <w:b/>
          <w:bCs/>
        </w:rPr>
      </w:pPr>
      <w:bookmarkStart w:id="16" w:name="_Toc198202098"/>
      <w:r w:rsidRPr="007D3C4A">
        <w:rPr>
          <w:b/>
          <w:bCs/>
        </w:rPr>
        <w:t>Lessons from the ILC Program</w:t>
      </w:r>
      <w:bookmarkEnd w:id="16"/>
    </w:p>
    <w:p w14:paraId="23B00032" w14:textId="3394020E" w:rsidR="00AC7AA4" w:rsidRPr="00AC7AA4" w:rsidRDefault="00AC7AA4" w:rsidP="00A74DB2">
      <w:pPr>
        <w:pStyle w:val="NoSpacing"/>
        <w:rPr>
          <w:rFonts w:asciiTheme="minorHAnsi" w:eastAsiaTheme="majorEastAsia" w:hAnsiTheme="minorHAnsi" w:cstheme="minorHAnsi"/>
          <w:color w:val="000000" w:themeColor="text1"/>
        </w:rPr>
      </w:pPr>
      <w:r w:rsidRPr="00AC7AA4">
        <w:rPr>
          <w:rFonts w:asciiTheme="minorHAnsi" w:eastAsiaTheme="majorEastAsia" w:hAnsiTheme="minorHAnsi" w:cstheme="minorHAnsi"/>
          <w:color w:val="000000" w:themeColor="text1"/>
        </w:rPr>
        <w:t>The rollout of foundational supports must learn from the failures of the Information, Linkages and Capacity Building (ILC) program</w:t>
      </w:r>
      <w:r w:rsidR="00674EF3" w:rsidRPr="00D76596">
        <w:rPr>
          <w:rFonts w:asciiTheme="minorHAnsi" w:eastAsiaTheme="majorEastAsia" w:hAnsiTheme="minorHAnsi" w:cstheme="minorHAnsi"/>
          <w:color w:val="000000" w:themeColor="text1"/>
        </w:rPr>
        <w:t xml:space="preserve"> commissioning process in 2024</w:t>
      </w:r>
      <w:r w:rsidRPr="00AC7AA4">
        <w:rPr>
          <w:rFonts w:asciiTheme="minorHAnsi" w:eastAsiaTheme="majorEastAsia" w:hAnsiTheme="minorHAnsi" w:cstheme="minorHAnsi"/>
          <w:color w:val="000000" w:themeColor="text1"/>
        </w:rPr>
        <w:t>. A lack of service mapping and strategic coordination led to fragmentation, funding losses, and the dismantling of trusted programs and partnerships. As a result, critical community infrastructure was lost. The NSW Government must not repeat this mistake. A coordinated mapping of existing services, gaps, and community need</w:t>
      </w:r>
      <w:r w:rsidR="007D3C4A">
        <w:rPr>
          <w:rFonts w:asciiTheme="minorHAnsi" w:eastAsiaTheme="majorEastAsia" w:hAnsiTheme="minorHAnsi" w:cstheme="minorHAnsi"/>
          <w:color w:val="000000" w:themeColor="text1"/>
        </w:rPr>
        <w:t xml:space="preserve">s, </w:t>
      </w:r>
      <w:r w:rsidRPr="00AC7AA4">
        <w:rPr>
          <w:rFonts w:asciiTheme="minorHAnsi" w:eastAsiaTheme="majorEastAsia" w:hAnsiTheme="minorHAnsi" w:cstheme="minorHAnsi"/>
          <w:color w:val="000000" w:themeColor="text1"/>
        </w:rPr>
        <w:t>developed in partnership with advocacy organisations</w:t>
      </w:r>
      <w:r w:rsidR="007D3C4A">
        <w:rPr>
          <w:rFonts w:asciiTheme="minorHAnsi" w:eastAsiaTheme="majorEastAsia" w:hAnsiTheme="minorHAnsi" w:cstheme="minorHAnsi"/>
          <w:color w:val="000000" w:themeColor="text1"/>
        </w:rPr>
        <w:t xml:space="preserve">, </w:t>
      </w:r>
      <w:r w:rsidRPr="00AC7AA4">
        <w:rPr>
          <w:rFonts w:asciiTheme="minorHAnsi" w:eastAsiaTheme="majorEastAsia" w:hAnsiTheme="minorHAnsi" w:cstheme="minorHAnsi"/>
          <w:color w:val="000000" w:themeColor="text1"/>
        </w:rPr>
        <w:t>is essential to inform evidence-based investment.</w:t>
      </w:r>
    </w:p>
    <w:p w14:paraId="4AED1A9C" w14:textId="77777777" w:rsidR="00735E31" w:rsidRPr="00D76596" w:rsidRDefault="00735E31" w:rsidP="00A74DB2">
      <w:pPr>
        <w:pStyle w:val="NoSpacing"/>
        <w:rPr>
          <w:rFonts w:asciiTheme="minorHAnsi" w:hAnsiTheme="minorHAnsi" w:cstheme="minorHAnsi"/>
        </w:rPr>
      </w:pPr>
    </w:p>
    <w:p w14:paraId="7F6F8729" w14:textId="78F8C69B" w:rsidR="008B370B" w:rsidRPr="00D76596" w:rsidRDefault="008F0333" w:rsidP="00A74DB2">
      <w:pPr>
        <w:pStyle w:val="Heading1"/>
        <w:rPr>
          <w:rFonts w:asciiTheme="minorHAnsi" w:hAnsiTheme="minorHAnsi" w:cstheme="minorHAnsi"/>
        </w:rPr>
      </w:pPr>
      <w:bookmarkStart w:id="17" w:name="_Toc198202099"/>
      <w:r w:rsidRPr="00D76596">
        <w:rPr>
          <w:rFonts w:asciiTheme="minorHAnsi" w:hAnsiTheme="minorHAnsi" w:cstheme="minorHAnsi"/>
        </w:rPr>
        <w:t>C</w:t>
      </w:r>
      <w:r w:rsidR="00E86805" w:rsidRPr="00D76596">
        <w:rPr>
          <w:rFonts w:asciiTheme="minorHAnsi" w:hAnsiTheme="minorHAnsi" w:cstheme="minorHAnsi"/>
        </w:rPr>
        <w:t>onc</w:t>
      </w:r>
      <w:r w:rsidRPr="00D76596">
        <w:rPr>
          <w:rFonts w:asciiTheme="minorHAnsi" w:hAnsiTheme="minorHAnsi" w:cstheme="minorHAnsi"/>
        </w:rPr>
        <w:t xml:space="preserve">luding </w:t>
      </w:r>
      <w:r w:rsidR="006454AA" w:rsidRPr="00D76596">
        <w:rPr>
          <w:rFonts w:asciiTheme="minorHAnsi" w:hAnsiTheme="minorHAnsi" w:cstheme="minorHAnsi"/>
        </w:rPr>
        <w:t>R</w:t>
      </w:r>
      <w:r w:rsidRPr="00D76596">
        <w:rPr>
          <w:rFonts w:asciiTheme="minorHAnsi" w:hAnsiTheme="minorHAnsi" w:cstheme="minorHAnsi"/>
        </w:rPr>
        <w:t>emarks</w:t>
      </w:r>
      <w:bookmarkEnd w:id="17"/>
    </w:p>
    <w:p w14:paraId="5FB472EA" w14:textId="77777777" w:rsidR="002131CD" w:rsidRPr="002131CD" w:rsidRDefault="002131CD" w:rsidP="00A74DB2">
      <w:pPr>
        <w:pStyle w:val="NoSpacing"/>
        <w:rPr>
          <w:rFonts w:asciiTheme="minorHAnsi" w:hAnsiTheme="minorHAnsi" w:cstheme="minorHAnsi"/>
        </w:rPr>
      </w:pPr>
    </w:p>
    <w:p w14:paraId="02B12CFD" w14:textId="7EBF4446" w:rsidR="002C42DB" w:rsidRPr="00D76596" w:rsidRDefault="002131CD" w:rsidP="00A74DB2">
      <w:pPr>
        <w:spacing w:line="240" w:lineRule="auto"/>
        <w:rPr>
          <w:rFonts w:asciiTheme="minorHAnsi" w:hAnsiTheme="minorHAnsi" w:cstheme="minorHAnsi"/>
        </w:rPr>
      </w:pPr>
      <w:r w:rsidRPr="00D817DA">
        <w:rPr>
          <w:rFonts w:asciiTheme="minorHAnsi" w:hAnsiTheme="minorHAnsi" w:cstheme="minorHAnsi"/>
        </w:rPr>
        <w:t>The development of foundational supports must be inclusive, co-designed, and available throughout the life course</w:t>
      </w:r>
      <w:r w:rsidRPr="002131CD">
        <w:rPr>
          <w:rFonts w:asciiTheme="minorHAnsi" w:hAnsiTheme="minorHAnsi" w:cstheme="minorHAnsi"/>
        </w:rPr>
        <w:t xml:space="preserve">, </w:t>
      </w:r>
      <w:r w:rsidRPr="00D817DA">
        <w:rPr>
          <w:rFonts w:asciiTheme="minorHAnsi" w:hAnsiTheme="minorHAnsi" w:cstheme="minorHAnsi"/>
        </w:rPr>
        <w:t>from early childhood through to older age. The NSW Government must act urgently, in partnership with the disability community and advocacy sector, to ensure that foundational supports are scoped, developed, and implemented without delay.</w:t>
      </w:r>
    </w:p>
    <w:p w14:paraId="20E0E0B2" w14:textId="527236E7" w:rsidR="00EC4F16" w:rsidRPr="008445E8" w:rsidRDefault="00EC4F16" w:rsidP="00A74DB2">
      <w:pPr>
        <w:pStyle w:val="NoSpacing"/>
        <w:rPr>
          <w:rFonts w:asciiTheme="minorHAnsi" w:hAnsiTheme="minorHAnsi" w:cstheme="minorHAnsi"/>
        </w:rPr>
      </w:pPr>
      <w:r w:rsidRPr="00D76596">
        <w:rPr>
          <w:rFonts w:asciiTheme="minorHAnsi" w:hAnsiTheme="minorHAnsi" w:cstheme="minorHAnsi"/>
        </w:rPr>
        <w:t xml:space="preserve">Finally, </w:t>
      </w:r>
      <w:r w:rsidR="00B53F45" w:rsidRPr="00D76596">
        <w:rPr>
          <w:rFonts w:asciiTheme="minorHAnsi" w:hAnsiTheme="minorHAnsi" w:cstheme="minorHAnsi"/>
        </w:rPr>
        <w:t>early intervention needs to go beyond children and young people with disabilities but be applied as a principle to adults who develop a condition, receive a diagnosis or experience an accident which leads to disability. Inclusive</w:t>
      </w:r>
      <w:r w:rsidRPr="00D76596">
        <w:rPr>
          <w:rFonts w:asciiTheme="minorHAnsi" w:hAnsiTheme="minorHAnsi" w:cstheme="minorHAnsi"/>
        </w:rPr>
        <w:t xml:space="preserve">, well-resourced targeted supports must be available for </w:t>
      </w:r>
      <w:r w:rsidRPr="008445E8">
        <w:rPr>
          <w:rFonts w:asciiTheme="minorHAnsi" w:hAnsiTheme="minorHAnsi" w:cstheme="minorHAnsi"/>
        </w:rPr>
        <w:t>all disability cohorts, not just young children with developmental delay, to ensure no one is excluded from essential services.</w:t>
      </w:r>
    </w:p>
    <w:p w14:paraId="11FC99C4" w14:textId="77777777" w:rsidR="008B370B" w:rsidRPr="008445E8" w:rsidRDefault="008B370B" w:rsidP="00A74DB2">
      <w:pPr>
        <w:pStyle w:val="NoSpacing"/>
        <w:rPr>
          <w:rFonts w:asciiTheme="minorHAnsi" w:hAnsiTheme="minorHAnsi" w:cstheme="minorHAnsi"/>
        </w:rPr>
      </w:pPr>
    </w:p>
    <w:p w14:paraId="478585AB" w14:textId="6DE0D94A" w:rsidR="008954AC" w:rsidRPr="008445E8" w:rsidRDefault="00A23CA2" w:rsidP="00A74DB2">
      <w:pPr>
        <w:pStyle w:val="NoSpacing"/>
        <w:rPr>
          <w:rFonts w:asciiTheme="minorHAnsi" w:hAnsiTheme="minorHAnsi" w:cstheme="minorHAnsi"/>
        </w:rPr>
      </w:pPr>
      <w:r w:rsidRPr="008445E8">
        <w:rPr>
          <w:rFonts w:asciiTheme="minorHAnsi" w:hAnsiTheme="minorHAnsi" w:cstheme="minorHAnsi"/>
        </w:rPr>
        <w:t xml:space="preserve">Foundational supports must be built on the principles of equity, inclusion, and co-design. They must be available throughout the life course and address the real and immediate service gaps facing people with disabilities.  </w:t>
      </w:r>
    </w:p>
    <w:p w14:paraId="63B275BD" w14:textId="5269F1F6" w:rsidR="00D64474" w:rsidRPr="008445E8" w:rsidRDefault="00D64474" w:rsidP="00A74DB2">
      <w:pPr>
        <w:pStyle w:val="NoSpacing"/>
        <w:rPr>
          <w:rFonts w:asciiTheme="minorHAnsi" w:hAnsiTheme="minorHAnsi" w:cstheme="minorHAnsi"/>
        </w:rPr>
      </w:pPr>
    </w:p>
    <w:p w14:paraId="05EF596A" w14:textId="37BFDD05" w:rsidR="00D62DFE" w:rsidRPr="00D817DA" w:rsidRDefault="00D62DFE" w:rsidP="00A74DB2">
      <w:pPr>
        <w:spacing w:line="240" w:lineRule="auto"/>
        <w:rPr>
          <w:rFonts w:asciiTheme="minorHAnsi" w:hAnsiTheme="minorHAnsi" w:cstheme="minorHAnsi"/>
        </w:rPr>
      </w:pPr>
      <w:r w:rsidRPr="00D817DA">
        <w:rPr>
          <w:rFonts w:asciiTheme="minorHAnsi" w:hAnsiTheme="minorHAnsi" w:cstheme="minorHAnsi"/>
        </w:rPr>
        <w:t xml:space="preserve">These supports are not merely safety </w:t>
      </w:r>
      <w:r w:rsidR="00367E01" w:rsidRPr="00D817DA">
        <w:rPr>
          <w:rFonts w:asciiTheme="minorHAnsi" w:hAnsiTheme="minorHAnsi" w:cstheme="minorHAnsi"/>
        </w:rPr>
        <w:t>nets</w:t>
      </w:r>
      <w:r w:rsidR="00367E01" w:rsidRPr="008445E8">
        <w:rPr>
          <w:rFonts w:asciiTheme="minorHAnsi" w:hAnsiTheme="minorHAnsi" w:cstheme="minorHAnsi"/>
        </w:rPr>
        <w:t>;</w:t>
      </w:r>
      <w:r w:rsidR="00A55767" w:rsidRPr="008445E8">
        <w:rPr>
          <w:rFonts w:asciiTheme="minorHAnsi" w:hAnsiTheme="minorHAnsi" w:cstheme="minorHAnsi"/>
        </w:rPr>
        <w:t xml:space="preserve"> </w:t>
      </w:r>
      <w:r w:rsidRPr="00D817DA">
        <w:rPr>
          <w:rFonts w:asciiTheme="minorHAnsi" w:hAnsiTheme="minorHAnsi" w:cstheme="minorHAnsi"/>
        </w:rPr>
        <w:t xml:space="preserve">they are the infrastructure of an inclusive society. Foundational supports must empower people with disability to pursue their goals, access inclusive </w:t>
      </w:r>
      <w:r w:rsidRPr="00D817DA">
        <w:rPr>
          <w:rFonts w:asciiTheme="minorHAnsi" w:hAnsiTheme="minorHAnsi" w:cstheme="minorHAnsi"/>
        </w:rPr>
        <w:lastRenderedPageBreak/>
        <w:t>services, and lead full and independent lives. To achieve this vision, supports must be person-centred, flexible, professionally delivered, and seamlessly integrated across health, education, disability, and community systems.</w:t>
      </w:r>
    </w:p>
    <w:p w14:paraId="4A45F566" w14:textId="6129893E" w:rsidR="00D62DFE" w:rsidRPr="00D817DA" w:rsidRDefault="00D62DFE" w:rsidP="00A74DB2">
      <w:pPr>
        <w:spacing w:line="240" w:lineRule="auto"/>
        <w:rPr>
          <w:rFonts w:asciiTheme="minorHAnsi" w:hAnsiTheme="minorHAnsi" w:cstheme="minorHAnsi"/>
        </w:rPr>
      </w:pPr>
      <w:r w:rsidRPr="00D817DA">
        <w:rPr>
          <w:rFonts w:asciiTheme="minorHAnsi" w:hAnsiTheme="minorHAnsi" w:cstheme="minorHAnsi"/>
        </w:rPr>
        <w:t>Community demand is clear</w:t>
      </w:r>
      <w:r w:rsidR="00865C9D" w:rsidRPr="008445E8">
        <w:rPr>
          <w:rFonts w:asciiTheme="minorHAnsi" w:hAnsiTheme="minorHAnsi" w:cstheme="minorHAnsi"/>
        </w:rPr>
        <w:t xml:space="preserve">, </w:t>
      </w:r>
      <w:r w:rsidR="00450751">
        <w:rPr>
          <w:rFonts w:asciiTheme="minorHAnsi" w:hAnsiTheme="minorHAnsi" w:cstheme="minorHAnsi"/>
        </w:rPr>
        <w:t xml:space="preserve">with </w:t>
      </w:r>
      <w:r w:rsidRPr="00D817DA">
        <w:rPr>
          <w:rFonts w:asciiTheme="minorHAnsi" w:hAnsiTheme="minorHAnsi" w:cstheme="minorHAnsi"/>
        </w:rPr>
        <w:t>96.6% of people with physical disability in NSW support</w:t>
      </w:r>
      <w:r w:rsidR="00FE1615">
        <w:rPr>
          <w:rFonts w:asciiTheme="minorHAnsi" w:hAnsiTheme="minorHAnsi" w:cstheme="minorHAnsi"/>
        </w:rPr>
        <w:t>ing</w:t>
      </w:r>
      <w:r w:rsidRPr="00D817DA">
        <w:rPr>
          <w:rFonts w:asciiTheme="minorHAnsi" w:hAnsiTheme="minorHAnsi" w:cstheme="minorHAnsi"/>
        </w:rPr>
        <w:t xml:space="preserve"> the expansion of foundational supports, particularly in daily living assistance, health, assistive technology, transport, mental health, and housing. A triaged gateway model led by trained, local Navigators is essential to simplify system access, particularly in regional areas, and to ensure continuity of support.</w:t>
      </w:r>
    </w:p>
    <w:p w14:paraId="6DA214AA" w14:textId="2907EC12" w:rsidR="00644657" w:rsidRPr="00D817DA" w:rsidRDefault="00644657" w:rsidP="00A74DB2">
      <w:pPr>
        <w:spacing w:line="240" w:lineRule="auto"/>
        <w:rPr>
          <w:rFonts w:asciiTheme="minorHAnsi" w:hAnsiTheme="minorHAnsi" w:cstheme="minorHAnsi"/>
        </w:rPr>
      </w:pPr>
      <w:r w:rsidRPr="00D817DA">
        <w:rPr>
          <w:rFonts w:asciiTheme="minorHAnsi" w:hAnsiTheme="minorHAnsi" w:cstheme="minorHAnsi"/>
        </w:rPr>
        <w:t>Finally, governments must learn from past failures, such as the ILC commissioning process, and commit to coordinated service mapping and evidence-based investment.</w:t>
      </w:r>
      <w:r w:rsidR="008445E8">
        <w:rPr>
          <w:rFonts w:asciiTheme="minorHAnsi" w:hAnsiTheme="minorHAnsi" w:cstheme="minorHAnsi"/>
        </w:rPr>
        <w:t xml:space="preserve"> </w:t>
      </w:r>
      <w:r w:rsidRPr="00D817DA">
        <w:rPr>
          <w:rFonts w:asciiTheme="minorHAnsi" w:hAnsiTheme="minorHAnsi" w:cstheme="minorHAnsi"/>
        </w:rPr>
        <w:t>Foundational supports are essential to building an equitable and sustainable disability support ecosystem</w:t>
      </w:r>
      <w:r w:rsidR="00D62DFE" w:rsidRPr="008445E8">
        <w:rPr>
          <w:rFonts w:asciiTheme="minorHAnsi" w:hAnsiTheme="minorHAnsi" w:cstheme="minorHAnsi"/>
        </w:rPr>
        <w:t xml:space="preserve">, </w:t>
      </w:r>
      <w:r w:rsidRPr="00D817DA">
        <w:rPr>
          <w:rFonts w:asciiTheme="minorHAnsi" w:hAnsiTheme="minorHAnsi" w:cstheme="minorHAnsi"/>
        </w:rPr>
        <w:t>one that supports not only the individual but the whole community. This is the moment to act.</w:t>
      </w:r>
    </w:p>
    <w:p w14:paraId="50D16AB2" w14:textId="7B0E3A0B" w:rsidR="004F15CE" w:rsidRPr="00D76596" w:rsidRDefault="004F15CE" w:rsidP="0052041A">
      <w:pPr>
        <w:tabs>
          <w:tab w:val="left" w:pos="6180"/>
        </w:tabs>
        <w:rPr>
          <w:rFonts w:asciiTheme="minorHAnsi" w:hAnsiTheme="minorHAnsi" w:cstheme="minorHAnsi"/>
        </w:rPr>
      </w:pPr>
    </w:p>
    <w:sectPr w:rsidR="004F15CE" w:rsidRPr="00D76596"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AF795" w14:textId="77777777" w:rsidR="003F588A" w:rsidRDefault="003F588A" w:rsidP="00140A14">
      <w:pPr>
        <w:spacing w:after="0" w:line="240" w:lineRule="auto"/>
      </w:pPr>
      <w:r>
        <w:separator/>
      </w:r>
    </w:p>
  </w:endnote>
  <w:endnote w:type="continuationSeparator" w:id="0">
    <w:p w14:paraId="392FAA40" w14:textId="77777777" w:rsidR="003F588A" w:rsidRDefault="003F588A" w:rsidP="00140A14">
      <w:pPr>
        <w:spacing w:after="0" w:line="240" w:lineRule="auto"/>
      </w:pPr>
      <w:r>
        <w:continuationSeparator/>
      </w:r>
    </w:p>
  </w:endnote>
  <w:endnote w:type="continuationNotice" w:id="1">
    <w:p w14:paraId="313CC9F0" w14:textId="77777777" w:rsidR="003F588A" w:rsidRDefault="003F5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alibri"/>
    <w:panose1 w:val="00000000000000000000"/>
    <w:charset w:val="00"/>
    <w:family w:val="swiss"/>
    <w:notTrueType/>
    <w:pitch w:val="variable"/>
    <w:sig w:usb0="A00002AF" w:usb1="5000204B"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973151"/>
      <w:docPartObj>
        <w:docPartGallery w:val="Page Numbers (Bottom of Page)"/>
        <w:docPartUnique/>
      </w:docPartObj>
    </w:sdtPr>
    <w:sdtEndPr>
      <w:rPr>
        <w:rFonts w:ascii="Myriad Pro" w:hAnsi="Myriad Pro"/>
        <w:noProof/>
      </w:rPr>
    </w:sdtEndPr>
    <w:sdtContent>
      <w:p w14:paraId="0F80EAC2"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51DB52A6" wp14:editId="65FE9A2C">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5FBAD80F"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9DF1" w14:textId="77777777" w:rsidR="00011837" w:rsidRDefault="00011837">
    <w:pPr>
      <w:pStyle w:val="Footer"/>
    </w:pPr>
    <w:r>
      <w:rPr>
        <w:noProof/>
      </w:rPr>
      <w:drawing>
        <wp:anchor distT="0" distB="0" distL="114300" distR="114300" simplePos="0" relativeHeight="251658241" behindDoc="1" locked="0" layoutInCell="1" allowOverlap="1" wp14:anchorId="736D6B17" wp14:editId="47B23AC8">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65614" w14:textId="77777777" w:rsidR="003F588A" w:rsidRDefault="003F588A" w:rsidP="00140A14">
      <w:pPr>
        <w:spacing w:after="0" w:line="240" w:lineRule="auto"/>
      </w:pPr>
      <w:r>
        <w:separator/>
      </w:r>
    </w:p>
  </w:footnote>
  <w:footnote w:type="continuationSeparator" w:id="0">
    <w:p w14:paraId="2E85802C" w14:textId="77777777" w:rsidR="003F588A" w:rsidRDefault="003F588A" w:rsidP="00140A14">
      <w:pPr>
        <w:spacing w:after="0" w:line="240" w:lineRule="auto"/>
      </w:pPr>
      <w:r>
        <w:continuationSeparator/>
      </w:r>
    </w:p>
  </w:footnote>
  <w:footnote w:type="continuationNotice" w:id="1">
    <w:p w14:paraId="667FC96C" w14:textId="77777777" w:rsidR="003F588A" w:rsidRDefault="003F588A">
      <w:pPr>
        <w:spacing w:after="0" w:line="240" w:lineRule="auto"/>
      </w:pPr>
    </w:p>
  </w:footnote>
  <w:footnote w:id="2">
    <w:p w14:paraId="3490FC3B" w14:textId="77777777" w:rsidR="009A5C2F" w:rsidRPr="00336FA8" w:rsidRDefault="009A5C2F" w:rsidP="009A5C2F">
      <w:pPr>
        <w:pStyle w:val="FootnoteText"/>
      </w:pPr>
      <w:r>
        <w:rPr>
          <w:rStyle w:val="FootnoteReference"/>
        </w:rPr>
        <w:footnoteRef/>
      </w:r>
      <w:r>
        <w:t xml:space="preserve"> </w:t>
      </w:r>
      <w:hyperlink r:id="rId1" w:tgtFrame="_blank" w:tooltip="https://australiandisabilitynetwork.org.au/resources/disability-statistics/" w:history="1">
        <w:r w:rsidRPr="00336FA8">
          <w:rPr>
            <w:rStyle w:val="Hyperlink"/>
          </w:rPr>
          <w:t>https://australiandisabilitynetwork.org.au/resources/disability-statistics/</w:t>
        </w:r>
      </w:hyperlink>
    </w:p>
  </w:footnote>
  <w:footnote w:id="3">
    <w:p w14:paraId="56F49E5E" w14:textId="2B9605BD" w:rsidR="000F6493" w:rsidRDefault="000F6493">
      <w:pPr>
        <w:pStyle w:val="FootnoteText"/>
      </w:pPr>
      <w:r>
        <w:rPr>
          <w:rStyle w:val="FootnoteReference"/>
        </w:rPr>
        <w:footnoteRef/>
      </w:r>
      <w:r>
        <w:t xml:space="preserve"> </w:t>
      </w:r>
      <w:r w:rsidRPr="00336459">
        <w:rPr>
          <w:lang w:val="en-AU"/>
        </w:rPr>
        <w:t xml:space="preserve">S Olney et al, </w:t>
      </w:r>
      <w:hyperlink r:id="rId2" w:anchor="page=13" w:history="1">
        <w:r w:rsidRPr="00C3696C">
          <w:rPr>
            <w:rStyle w:val="Hyperlink"/>
            <w:lang w:val="en-AU"/>
          </w:rPr>
          <w:t>The Tier 2 tipping point: access to support for working-age Australians with disability without individual NDIS funding</w:t>
        </w:r>
      </w:hyperlink>
      <w:r w:rsidRPr="00336459">
        <w:rPr>
          <w:lang w:val="en-AU"/>
        </w:rPr>
        <w:t>, June 2022, p. 13. NB: Survey respondents were from Victoria, Tasmania and South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40886"/>
    <w:multiLevelType w:val="multilevel"/>
    <w:tmpl w:val="435A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700CE8"/>
    <w:multiLevelType w:val="multilevel"/>
    <w:tmpl w:val="AB70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A9152E"/>
    <w:multiLevelType w:val="multilevel"/>
    <w:tmpl w:val="6B1EC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AB6F17"/>
    <w:multiLevelType w:val="multilevel"/>
    <w:tmpl w:val="2EA6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9B290B"/>
    <w:multiLevelType w:val="multilevel"/>
    <w:tmpl w:val="7D1E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3A4EEB"/>
    <w:multiLevelType w:val="multilevel"/>
    <w:tmpl w:val="BCC4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B2301"/>
    <w:multiLevelType w:val="multilevel"/>
    <w:tmpl w:val="4A20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5C44E4"/>
    <w:multiLevelType w:val="hybridMultilevel"/>
    <w:tmpl w:val="2ECCA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580CFD"/>
    <w:multiLevelType w:val="multilevel"/>
    <w:tmpl w:val="FD7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0F249C"/>
    <w:multiLevelType w:val="multilevel"/>
    <w:tmpl w:val="63C0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455E6B"/>
    <w:multiLevelType w:val="multilevel"/>
    <w:tmpl w:val="DDA0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550AED"/>
    <w:multiLevelType w:val="multilevel"/>
    <w:tmpl w:val="9E48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592D1C"/>
    <w:multiLevelType w:val="multilevel"/>
    <w:tmpl w:val="8882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D7716F"/>
    <w:multiLevelType w:val="multilevel"/>
    <w:tmpl w:val="E1DA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3F7212"/>
    <w:multiLevelType w:val="hybridMultilevel"/>
    <w:tmpl w:val="1E027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F11255"/>
    <w:multiLevelType w:val="multilevel"/>
    <w:tmpl w:val="1452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7C204A"/>
    <w:multiLevelType w:val="multilevel"/>
    <w:tmpl w:val="BA66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FD215A"/>
    <w:multiLevelType w:val="multilevel"/>
    <w:tmpl w:val="8960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B663C8"/>
    <w:multiLevelType w:val="multilevel"/>
    <w:tmpl w:val="69FC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9D565A"/>
    <w:multiLevelType w:val="multilevel"/>
    <w:tmpl w:val="0ED2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D53E46"/>
    <w:multiLevelType w:val="multilevel"/>
    <w:tmpl w:val="A87E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BF6EAA"/>
    <w:multiLevelType w:val="multilevel"/>
    <w:tmpl w:val="5948A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7C4589"/>
    <w:multiLevelType w:val="hybridMultilevel"/>
    <w:tmpl w:val="0E58883A"/>
    <w:lvl w:ilvl="0" w:tplc="8FC29956">
      <w:start w:val="1"/>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2878959">
    <w:abstractNumId w:val="9"/>
  </w:num>
  <w:num w:numId="2" w16cid:durableId="1994751408">
    <w:abstractNumId w:val="7"/>
  </w:num>
  <w:num w:numId="3" w16cid:durableId="832372857">
    <w:abstractNumId w:val="6"/>
  </w:num>
  <w:num w:numId="4" w16cid:durableId="1049886998">
    <w:abstractNumId w:val="5"/>
  </w:num>
  <w:num w:numId="5" w16cid:durableId="1619292955">
    <w:abstractNumId w:val="4"/>
  </w:num>
  <w:num w:numId="6" w16cid:durableId="1345131812">
    <w:abstractNumId w:val="8"/>
  </w:num>
  <w:num w:numId="7" w16cid:durableId="67925494">
    <w:abstractNumId w:val="3"/>
  </w:num>
  <w:num w:numId="8" w16cid:durableId="1605265754">
    <w:abstractNumId w:val="2"/>
  </w:num>
  <w:num w:numId="9" w16cid:durableId="312100022">
    <w:abstractNumId w:val="1"/>
  </w:num>
  <w:num w:numId="10" w16cid:durableId="97531727">
    <w:abstractNumId w:val="0"/>
  </w:num>
  <w:num w:numId="11" w16cid:durableId="1035623205">
    <w:abstractNumId w:val="28"/>
  </w:num>
  <w:num w:numId="12" w16cid:durableId="812141381">
    <w:abstractNumId w:val="24"/>
  </w:num>
  <w:num w:numId="13" w16cid:durableId="1718550950">
    <w:abstractNumId w:val="12"/>
  </w:num>
  <w:num w:numId="14" w16cid:durableId="27875487">
    <w:abstractNumId w:val="15"/>
  </w:num>
  <w:num w:numId="15" w16cid:durableId="1731221547">
    <w:abstractNumId w:val="14"/>
  </w:num>
  <w:num w:numId="16" w16cid:durableId="1862669643">
    <w:abstractNumId w:val="30"/>
  </w:num>
  <w:num w:numId="17" w16cid:durableId="865871395">
    <w:abstractNumId w:val="16"/>
  </w:num>
  <w:num w:numId="18" w16cid:durableId="2035228253">
    <w:abstractNumId w:val="21"/>
  </w:num>
  <w:num w:numId="19" w16cid:durableId="1340935884">
    <w:abstractNumId w:val="39"/>
  </w:num>
  <w:num w:numId="20" w16cid:durableId="1372732087">
    <w:abstractNumId w:val="36"/>
  </w:num>
  <w:num w:numId="21" w16cid:durableId="1172069133">
    <w:abstractNumId w:val="27"/>
  </w:num>
  <w:num w:numId="22" w16cid:durableId="1444376604">
    <w:abstractNumId w:val="26"/>
  </w:num>
  <w:num w:numId="23" w16cid:durableId="1141730372">
    <w:abstractNumId w:val="22"/>
  </w:num>
  <w:num w:numId="24" w16cid:durableId="1890996807">
    <w:abstractNumId w:val="11"/>
  </w:num>
  <w:num w:numId="25" w16cid:durableId="475758463">
    <w:abstractNumId w:val="32"/>
  </w:num>
  <w:num w:numId="26" w16cid:durableId="695890672">
    <w:abstractNumId w:val="10"/>
  </w:num>
  <w:num w:numId="27" w16cid:durableId="581766634">
    <w:abstractNumId w:val="35"/>
  </w:num>
  <w:num w:numId="28" w16cid:durableId="1954167097">
    <w:abstractNumId w:val="34"/>
  </w:num>
  <w:num w:numId="29" w16cid:durableId="89937528">
    <w:abstractNumId w:val="31"/>
  </w:num>
  <w:num w:numId="30" w16cid:durableId="166286491">
    <w:abstractNumId w:val="19"/>
  </w:num>
  <w:num w:numId="31" w16cid:durableId="321154690">
    <w:abstractNumId w:val="33"/>
  </w:num>
  <w:num w:numId="32" w16cid:durableId="1435052757">
    <w:abstractNumId w:val="20"/>
  </w:num>
  <w:num w:numId="33" w16cid:durableId="341587642">
    <w:abstractNumId w:val="37"/>
  </w:num>
  <w:num w:numId="34" w16cid:durableId="1080130249">
    <w:abstractNumId w:val="29"/>
  </w:num>
  <w:num w:numId="35" w16cid:durableId="1780832919">
    <w:abstractNumId w:val="18"/>
  </w:num>
  <w:num w:numId="36" w16cid:durableId="725836429">
    <w:abstractNumId w:val="13"/>
  </w:num>
  <w:num w:numId="37" w16cid:durableId="193660452">
    <w:abstractNumId w:val="38"/>
  </w:num>
  <w:num w:numId="38" w16cid:durableId="370693053">
    <w:abstractNumId w:val="17"/>
  </w:num>
  <w:num w:numId="39" w16cid:durableId="854417027">
    <w:abstractNumId w:val="25"/>
  </w:num>
  <w:num w:numId="40" w16cid:durableId="10593265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F8"/>
    <w:rsid w:val="00000338"/>
    <w:rsid w:val="00000506"/>
    <w:rsid w:val="00000872"/>
    <w:rsid w:val="00000E83"/>
    <w:rsid w:val="000014AE"/>
    <w:rsid w:val="000030D8"/>
    <w:rsid w:val="00003501"/>
    <w:rsid w:val="000036D4"/>
    <w:rsid w:val="00004279"/>
    <w:rsid w:val="00004871"/>
    <w:rsid w:val="000050C2"/>
    <w:rsid w:val="0000580A"/>
    <w:rsid w:val="00005C64"/>
    <w:rsid w:val="00006CB9"/>
    <w:rsid w:val="000073A8"/>
    <w:rsid w:val="00007AD5"/>
    <w:rsid w:val="000100D0"/>
    <w:rsid w:val="0001127D"/>
    <w:rsid w:val="00011837"/>
    <w:rsid w:val="00011AF5"/>
    <w:rsid w:val="00011C4D"/>
    <w:rsid w:val="000122A7"/>
    <w:rsid w:val="000122AA"/>
    <w:rsid w:val="000127BA"/>
    <w:rsid w:val="00012861"/>
    <w:rsid w:val="00012F78"/>
    <w:rsid w:val="00013763"/>
    <w:rsid w:val="00013A3A"/>
    <w:rsid w:val="0001480B"/>
    <w:rsid w:val="00014977"/>
    <w:rsid w:val="00014C91"/>
    <w:rsid w:val="00014F29"/>
    <w:rsid w:val="000155AE"/>
    <w:rsid w:val="00016BD3"/>
    <w:rsid w:val="00016C84"/>
    <w:rsid w:val="00020125"/>
    <w:rsid w:val="00020126"/>
    <w:rsid w:val="000202F4"/>
    <w:rsid w:val="0002040F"/>
    <w:rsid w:val="00020683"/>
    <w:rsid w:val="00021458"/>
    <w:rsid w:val="000218C0"/>
    <w:rsid w:val="00021C09"/>
    <w:rsid w:val="00021E30"/>
    <w:rsid w:val="00021EC4"/>
    <w:rsid w:val="000225AA"/>
    <w:rsid w:val="0002403F"/>
    <w:rsid w:val="00025AC7"/>
    <w:rsid w:val="00025C6D"/>
    <w:rsid w:val="0002622C"/>
    <w:rsid w:val="00026268"/>
    <w:rsid w:val="00026F63"/>
    <w:rsid w:val="000270C3"/>
    <w:rsid w:val="00027C4E"/>
    <w:rsid w:val="00030E5E"/>
    <w:rsid w:val="00030E9C"/>
    <w:rsid w:val="0003169B"/>
    <w:rsid w:val="000317FC"/>
    <w:rsid w:val="00031C81"/>
    <w:rsid w:val="0003216F"/>
    <w:rsid w:val="000325FB"/>
    <w:rsid w:val="00032A29"/>
    <w:rsid w:val="00032A3C"/>
    <w:rsid w:val="00033230"/>
    <w:rsid w:val="0003338D"/>
    <w:rsid w:val="00033929"/>
    <w:rsid w:val="00033AC6"/>
    <w:rsid w:val="00033CA7"/>
    <w:rsid w:val="000346B5"/>
    <w:rsid w:val="000346ED"/>
    <w:rsid w:val="0003546D"/>
    <w:rsid w:val="000359E3"/>
    <w:rsid w:val="00035FF7"/>
    <w:rsid w:val="00036056"/>
    <w:rsid w:val="00036B4E"/>
    <w:rsid w:val="00036CCF"/>
    <w:rsid w:val="00037A16"/>
    <w:rsid w:val="00040353"/>
    <w:rsid w:val="000405AF"/>
    <w:rsid w:val="0004113B"/>
    <w:rsid w:val="00042F13"/>
    <w:rsid w:val="00043C41"/>
    <w:rsid w:val="000440CD"/>
    <w:rsid w:val="00044744"/>
    <w:rsid w:val="00044759"/>
    <w:rsid w:val="00044CD2"/>
    <w:rsid w:val="00045481"/>
    <w:rsid w:val="00045E0A"/>
    <w:rsid w:val="00045EA7"/>
    <w:rsid w:val="00046DF0"/>
    <w:rsid w:val="00047386"/>
    <w:rsid w:val="00047599"/>
    <w:rsid w:val="00050482"/>
    <w:rsid w:val="00050649"/>
    <w:rsid w:val="00050FDE"/>
    <w:rsid w:val="000510A8"/>
    <w:rsid w:val="000517CA"/>
    <w:rsid w:val="00051AE3"/>
    <w:rsid w:val="00052911"/>
    <w:rsid w:val="00052EE3"/>
    <w:rsid w:val="000531D5"/>
    <w:rsid w:val="0005332D"/>
    <w:rsid w:val="00053626"/>
    <w:rsid w:val="00053E0C"/>
    <w:rsid w:val="0005429B"/>
    <w:rsid w:val="000543EF"/>
    <w:rsid w:val="0005444D"/>
    <w:rsid w:val="000545C2"/>
    <w:rsid w:val="00056B64"/>
    <w:rsid w:val="000576E9"/>
    <w:rsid w:val="00057744"/>
    <w:rsid w:val="00057A88"/>
    <w:rsid w:val="00057D8C"/>
    <w:rsid w:val="00060A41"/>
    <w:rsid w:val="000618EB"/>
    <w:rsid w:val="00061A6F"/>
    <w:rsid w:val="00062C9D"/>
    <w:rsid w:val="00062EBD"/>
    <w:rsid w:val="000636B9"/>
    <w:rsid w:val="00063E63"/>
    <w:rsid w:val="00064333"/>
    <w:rsid w:val="0006450E"/>
    <w:rsid w:val="000648A0"/>
    <w:rsid w:val="0006574B"/>
    <w:rsid w:val="00065A93"/>
    <w:rsid w:val="00067BCF"/>
    <w:rsid w:val="00067F53"/>
    <w:rsid w:val="00070A44"/>
    <w:rsid w:val="00071368"/>
    <w:rsid w:val="0007178C"/>
    <w:rsid w:val="0007224F"/>
    <w:rsid w:val="00072C25"/>
    <w:rsid w:val="00072DC9"/>
    <w:rsid w:val="00073055"/>
    <w:rsid w:val="000734C1"/>
    <w:rsid w:val="00073CC1"/>
    <w:rsid w:val="00073FEF"/>
    <w:rsid w:val="000742BA"/>
    <w:rsid w:val="00074481"/>
    <w:rsid w:val="000749DB"/>
    <w:rsid w:val="00074A4E"/>
    <w:rsid w:val="00075057"/>
    <w:rsid w:val="000750D5"/>
    <w:rsid w:val="00075369"/>
    <w:rsid w:val="000763BC"/>
    <w:rsid w:val="00076478"/>
    <w:rsid w:val="00076673"/>
    <w:rsid w:val="000769BA"/>
    <w:rsid w:val="00077101"/>
    <w:rsid w:val="00077E08"/>
    <w:rsid w:val="00077EF1"/>
    <w:rsid w:val="00080001"/>
    <w:rsid w:val="000801C3"/>
    <w:rsid w:val="00080253"/>
    <w:rsid w:val="00080518"/>
    <w:rsid w:val="00080B1E"/>
    <w:rsid w:val="00080E4C"/>
    <w:rsid w:val="00080F46"/>
    <w:rsid w:val="000819D5"/>
    <w:rsid w:val="00081ED4"/>
    <w:rsid w:val="0008279B"/>
    <w:rsid w:val="000837C5"/>
    <w:rsid w:val="00083D68"/>
    <w:rsid w:val="00083EB0"/>
    <w:rsid w:val="0008451F"/>
    <w:rsid w:val="000848CE"/>
    <w:rsid w:val="00084BDA"/>
    <w:rsid w:val="000856CD"/>
    <w:rsid w:val="00085FD3"/>
    <w:rsid w:val="00086FE2"/>
    <w:rsid w:val="00087EEA"/>
    <w:rsid w:val="000902DD"/>
    <w:rsid w:val="00090FED"/>
    <w:rsid w:val="00090FF3"/>
    <w:rsid w:val="000910AE"/>
    <w:rsid w:val="000912C4"/>
    <w:rsid w:val="00092F54"/>
    <w:rsid w:val="00092FF6"/>
    <w:rsid w:val="00093750"/>
    <w:rsid w:val="000939D3"/>
    <w:rsid w:val="00094D3B"/>
    <w:rsid w:val="00095EA9"/>
    <w:rsid w:val="00096F27"/>
    <w:rsid w:val="000977DC"/>
    <w:rsid w:val="000A0363"/>
    <w:rsid w:val="000A07D0"/>
    <w:rsid w:val="000A370A"/>
    <w:rsid w:val="000A3D62"/>
    <w:rsid w:val="000A4129"/>
    <w:rsid w:val="000A47AD"/>
    <w:rsid w:val="000A4AF1"/>
    <w:rsid w:val="000A4D15"/>
    <w:rsid w:val="000A5E48"/>
    <w:rsid w:val="000A6050"/>
    <w:rsid w:val="000A64BC"/>
    <w:rsid w:val="000A65E9"/>
    <w:rsid w:val="000A6E8D"/>
    <w:rsid w:val="000A7683"/>
    <w:rsid w:val="000B00EB"/>
    <w:rsid w:val="000B02FA"/>
    <w:rsid w:val="000B037E"/>
    <w:rsid w:val="000B04CD"/>
    <w:rsid w:val="000B07FC"/>
    <w:rsid w:val="000B08B4"/>
    <w:rsid w:val="000B0CE7"/>
    <w:rsid w:val="000B2628"/>
    <w:rsid w:val="000B322E"/>
    <w:rsid w:val="000B4647"/>
    <w:rsid w:val="000B468A"/>
    <w:rsid w:val="000B493B"/>
    <w:rsid w:val="000B4B75"/>
    <w:rsid w:val="000B541B"/>
    <w:rsid w:val="000B5DFB"/>
    <w:rsid w:val="000B7D70"/>
    <w:rsid w:val="000B7E64"/>
    <w:rsid w:val="000C0D0C"/>
    <w:rsid w:val="000C0F93"/>
    <w:rsid w:val="000C1728"/>
    <w:rsid w:val="000C1CEB"/>
    <w:rsid w:val="000C288B"/>
    <w:rsid w:val="000C30CD"/>
    <w:rsid w:val="000C3155"/>
    <w:rsid w:val="000C31FE"/>
    <w:rsid w:val="000C3465"/>
    <w:rsid w:val="000C3834"/>
    <w:rsid w:val="000C38C2"/>
    <w:rsid w:val="000C401E"/>
    <w:rsid w:val="000C4181"/>
    <w:rsid w:val="000C4936"/>
    <w:rsid w:val="000C5164"/>
    <w:rsid w:val="000C51DD"/>
    <w:rsid w:val="000C5802"/>
    <w:rsid w:val="000C648E"/>
    <w:rsid w:val="000C65BD"/>
    <w:rsid w:val="000C6CFC"/>
    <w:rsid w:val="000C6FC9"/>
    <w:rsid w:val="000D03E7"/>
    <w:rsid w:val="000D065B"/>
    <w:rsid w:val="000D137A"/>
    <w:rsid w:val="000D33FF"/>
    <w:rsid w:val="000D4192"/>
    <w:rsid w:val="000D4BE7"/>
    <w:rsid w:val="000D4E73"/>
    <w:rsid w:val="000D515E"/>
    <w:rsid w:val="000D54B0"/>
    <w:rsid w:val="000D556E"/>
    <w:rsid w:val="000D5A2B"/>
    <w:rsid w:val="000D5AA5"/>
    <w:rsid w:val="000D62C5"/>
    <w:rsid w:val="000D6757"/>
    <w:rsid w:val="000D6785"/>
    <w:rsid w:val="000D7163"/>
    <w:rsid w:val="000D7185"/>
    <w:rsid w:val="000D73A4"/>
    <w:rsid w:val="000D79ED"/>
    <w:rsid w:val="000D7CC2"/>
    <w:rsid w:val="000D7D8F"/>
    <w:rsid w:val="000E00FC"/>
    <w:rsid w:val="000E0BE0"/>
    <w:rsid w:val="000E101A"/>
    <w:rsid w:val="000E10F0"/>
    <w:rsid w:val="000E18D4"/>
    <w:rsid w:val="000E1C60"/>
    <w:rsid w:val="000E2B2C"/>
    <w:rsid w:val="000E2C15"/>
    <w:rsid w:val="000E30C4"/>
    <w:rsid w:val="000E3263"/>
    <w:rsid w:val="000E367D"/>
    <w:rsid w:val="000E3BD6"/>
    <w:rsid w:val="000E44AD"/>
    <w:rsid w:val="000E5001"/>
    <w:rsid w:val="000E5585"/>
    <w:rsid w:val="000E60F1"/>
    <w:rsid w:val="000E645C"/>
    <w:rsid w:val="000E70B1"/>
    <w:rsid w:val="000E7232"/>
    <w:rsid w:val="000E7449"/>
    <w:rsid w:val="000F06CE"/>
    <w:rsid w:val="000F06F5"/>
    <w:rsid w:val="000F077C"/>
    <w:rsid w:val="000F0D59"/>
    <w:rsid w:val="000F0FE0"/>
    <w:rsid w:val="000F1A42"/>
    <w:rsid w:val="000F1BE6"/>
    <w:rsid w:val="000F2438"/>
    <w:rsid w:val="000F285F"/>
    <w:rsid w:val="000F2BC5"/>
    <w:rsid w:val="000F4020"/>
    <w:rsid w:val="000F4370"/>
    <w:rsid w:val="000F4640"/>
    <w:rsid w:val="000F465D"/>
    <w:rsid w:val="000F493E"/>
    <w:rsid w:val="000F58DC"/>
    <w:rsid w:val="000F5BA2"/>
    <w:rsid w:val="000F5CC2"/>
    <w:rsid w:val="000F61B6"/>
    <w:rsid w:val="000F62EF"/>
    <w:rsid w:val="000F6493"/>
    <w:rsid w:val="000F7CF8"/>
    <w:rsid w:val="00100401"/>
    <w:rsid w:val="00101091"/>
    <w:rsid w:val="00101097"/>
    <w:rsid w:val="00101663"/>
    <w:rsid w:val="00101A51"/>
    <w:rsid w:val="00101C79"/>
    <w:rsid w:val="00101EE5"/>
    <w:rsid w:val="0010238A"/>
    <w:rsid w:val="00104524"/>
    <w:rsid w:val="00104E94"/>
    <w:rsid w:val="00104EEB"/>
    <w:rsid w:val="00105FBB"/>
    <w:rsid w:val="0010601E"/>
    <w:rsid w:val="00106570"/>
    <w:rsid w:val="00106866"/>
    <w:rsid w:val="00106D23"/>
    <w:rsid w:val="00106EDF"/>
    <w:rsid w:val="00107424"/>
    <w:rsid w:val="00111219"/>
    <w:rsid w:val="00111236"/>
    <w:rsid w:val="00111F61"/>
    <w:rsid w:val="00113158"/>
    <w:rsid w:val="00113B59"/>
    <w:rsid w:val="001141D5"/>
    <w:rsid w:val="00114502"/>
    <w:rsid w:val="00114933"/>
    <w:rsid w:val="00115215"/>
    <w:rsid w:val="0011587E"/>
    <w:rsid w:val="00115BD4"/>
    <w:rsid w:val="00115EE5"/>
    <w:rsid w:val="00116323"/>
    <w:rsid w:val="001165E5"/>
    <w:rsid w:val="001168F4"/>
    <w:rsid w:val="00117D52"/>
    <w:rsid w:val="0012026E"/>
    <w:rsid w:val="00120743"/>
    <w:rsid w:val="00120EBE"/>
    <w:rsid w:val="00121463"/>
    <w:rsid w:val="00121D51"/>
    <w:rsid w:val="0012234A"/>
    <w:rsid w:val="001229EC"/>
    <w:rsid w:val="00122A4E"/>
    <w:rsid w:val="00122C55"/>
    <w:rsid w:val="00123730"/>
    <w:rsid w:val="00123D33"/>
    <w:rsid w:val="00123E09"/>
    <w:rsid w:val="00123E38"/>
    <w:rsid w:val="00124589"/>
    <w:rsid w:val="001249BA"/>
    <w:rsid w:val="00125C1C"/>
    <w:rsid w:val="0012677D"/>
    <w:rsid w:val="0012681D"/>
    <w:rsid w:val="00126D1B"/>
    <w:rsid w:val="0012778C"/>
    <w:rsid w:val="00127B47"/>
    <w:rsid w:val="00127FB2"/>
    <w:rsid w:val="001308DE"/>
    <w:rsid w:val="001309A5"/>
    <w:rsid w:val="001309C4"/>
    <w:rsid w:val="00130D7C"/>
    <w:rsid w:val="0013105A"/>
    <w:rsid w:val="00132733"/>
    <w:rsid w:val="00134367"/>
    <w:rsid w:val="001354EA"/>
    <w:rsid w:val="00135D70"/>
    <w:rsid w:val="00136468"/>
    <w:rsid w:val="00136816"/>
    <w:rsid w:val="001378AF"/>
    <w:rsid w:val="00137E0D"/>
    <w:rsid w:val="00140196"/>
    <w:rsid w:val="001402AA"/>
    <w:rsid w:val="001406E0"/>
    <w:rsid w:val="00140A14"/>
    <w:rsid w:val="00140C1E"/>
    <w:rsid w:val="00141DFF"/>
    <w:rsid w:val="00141F65"/>
    <w:rsid w:val="00142BA0"/>
    <w:rsid w:val="0014351F"/>
    <w:rsid w:val="00144849"/>
    <w:rsid w:val="0014492C"/>
    <w:rsid w:val="0014560C"/>
    <w:rsid w:val="001458E9"/>
    <w:rsid w:val="00145A8E"/>
    <w:rsid w:val="00146168"/>
    <w:rsid w:val="00146B4C"/>
    <w:rsid w:val="00146D39"/>
    <w:rsid w:val="00151690"/>
    <w:rsid w:val="00151CF0"/>
    <w:rsid w:val="0015204E"/>
    <w:rsid w:val="0015212C"/>
    <w:rsid w:val="001521EA"/>
    <w:rsid w:val="00152C62"/>
    <w:rsid w:val="001531D8"/>
    <w:rsid w:val="0015403F"/>
    <w:rsid w:val="0015454B"/>
    <w:rsid w:val="001550B8"/>
    <w:rsid w:val="00155604"/>
    <w:rsid w:val="001556FA"/>
    <w:rsid w:val="00155E84"/>
    <w:rsid w:val="001571A7"/>
    <w:rsid w:val="0015794B"/>
    <w:rsid w:val="001601F5"/>
    <w:rsid w:val="00160669"/>
    <w:rsid w:val="00161177"/>
    <w:rsid w:val="00161457"/>
    <w:rsid w:val="001621B4"/>
    <w:rsid w:val="00162DC2"/>
    <w:rsid w:val="00162E48"/>
    <w:rsid w:val="00163737"/>
    <w:rsid w:val="00163FCC"/>
    <w:rsid w:val="00164BAB"/>
    <w:rsid w:val="00164E52"/>
    <w:rsid w:val="00167522"/>
    <w:rsid w:val="00170D7F"/>
    <w:rsid w:val="00171125"/>
    <w:rsid w:val="00171279"/>
    <w:rsid w:val="001717F9"/>
    <w:rsid w:val="001719DD"/>
    <w:rsid w:val="00171B8C"/>
    <w:rsid w:val="00171CA4"/>
    <w:rsid w:val="001724DD"/>
    <w:rsid w:val="001727A2"/>
    <w:rsid w:val="0017298C"/>
    <w:rsid w:val="00173077"/>
    <w:rsid w:val="001737AF"/>
    <w:rsid w:val="00173A2A"/>
    <w:rsid w:val="00173C78"/>
    <w:rsid w:val="0017511D"/>
    <w:rsid w:val="00175992"/>
    <w:rsid w:val="00176814"/>
    <w:rsid w:val="00176869"/>
    <w:rsid w:val="00177264"/>
    <w:rsid w:val="00177273"/>
    <w:rsid w:val="0018017E"/>
    <w:rsid w:val="001806BB"/>
    <w:rsid w:val="00181E39"/>
    <w:rsid w:val="00181ECD"/>
    <w:rsid w:val="00182477"/>
    <w:rsid w:val="00182823"/>
    <w:rsid w:val="00182B69"/>
    <w:rsid w:val="0018357D"/>
    <w:rsid w:val="00183A74"/>
    <w:rsid w:val="0018470A"/>
    <w:rsid w:val="00184A96"/>
    <w:rsid w:val="00184D75"/>
    <w:rsid w:val="0018522A"/>
    <w:rsid w:val="0018561F"/>
    <w:rsid w:val="00185D6A"/>
    <w:rsid w:val="00186178"/>
    <w:rsid w:val="00186DA4"/>
    <w:rsid w:val="001877EF"/>
    <w:rsid w:val="00190EC5"/>
    <w:rsid w:val="0019163D"/>
    <w:rsid w:val="00191E4C"/>
    <w:rsid w:val="00191E83"/>
    <w:rsid w:val="00191F29"/>
    <w:rsid w:val="00192497"/>
    <w:rsid w:val="00192F67"/>
    <w:rsid w:val="0019350D"/>
    <w:rsid w:val="00194043"/>
    <w:rsid w:val="00194514"/>
    <w:rsid w:val="001949C7"/>
    <w:rsid w:val="00195777"/>
    <w:rsid w:val="00196445"/>
    <w:rsid w:val="001965C2"/>
    <w:rsid w:val="00196BE9"/>
    <w:rsid w:val="00197051"/>
    <w:rsid w:val="00197061"/>
    <w:rsid w:val="001A07B5"/>
    <w:rsid w:val="001A11AC"/>
    <w:rsid w:val="001A134C"/>
    <w:rsid w:val="001A1971"/>
    <w:rsid w:val="001A19B9"/>
    <w:rsid w:val="001A2115"/>
    <w:rsid w:val="001A226A"/>
    <w:rsid w:val="001A282F"/>
    <w:rsid w:val="001A31BC"/>
    <w:rsid w:val="001A3238"/>
    <w:rsid w:val="001A3B72"/>
    <w:rsid w:val="001A3F8F"/>
    <w:rsid w:val="001A6299"/>
    <w:rsid w:val="001A6762"/>
    <w:rsid w:val="001A6A0A"/>
    <w:rsid w:val="001A6DC3"/>
    <w:rsid w:val="001A6F4C"/>
    <w:rsid w:val="001B0AF6"/>
    <w:rsid w:val="001B1617"/>
    <w:rsid w:val="001B175D"/>
    <w:rsid w:val="001B1981"/>
    <w:rsid w:val="001B1D83"/>
    <w:rsid w:val="001B20AE"/>
    <w:rsid w:val="001B210C"/>
    <w:rsid w:val="001B2644"/>
    <w:rsid w:val="001B283F"/>
    <w:rsid w:val="001B2C9C"/>
    <w:rsid w:val="001B305C"/>
    <w:rsid w:val="001B3330"/>
    <w:rsid w:val="001B363D"/>
    <w:rsid w:val="001B381E"/>
    <w:rsid w:val="001B3A19"/>
    <w:rsid w:val="001B3D61"/>
    <w:rsid w:val="001B44BD"/>
    <w:rsid w:val="001B46E9"/>
    <w:rsid w:val="001B4835"/>
    <w:rsid w:val="001B49AE"/>
    <w:rsid w:val="001B5196"/>
    <w:rsid w:val="001B5D58"/>
    <w:rsid w:val="001B5EB7"/>
    <w:rsid w:val="001B681C"/>
    <w:rsid w:val="001B757E"/>
    <w:rsid w:val="001C04A0"/>
    <w:rsid w:val="001C0F4E"/>
    <w:rsid w:val="001C1154"/>
    <w:rsid w:val="001C2952"/>
    <w:rsid w:val="001C2AAF"/>
    <w:rsid w:val="001C3A75"/>
    <w:rsid w:val="001C3CB1"/>
    <w:rsid w:val="001C4A2E"/>
    <w:rsid w:val="001C4AFA"/>
    <w:rsid w:val="001C553E"/>
    <w:rsid w:val="001C59B7"/>
    <w:rsid w:val="001C5BAC"/>
    <w:rsid w:val="001C62D3"/>
    <w:rsid w:val="001C6AF2"/>
    <w:rsid w:val="001C6C6C"/>
    <w:rsid w:val="001D2969"/>
    <w:rsid w:val="001D3448"/>
    <w:rsid w:val="001D39C3"/>
    <w:rsid w:val="001D4425"/>
    <w:rsid w:val="001D6007"/>
    <w:rsid w:val="001D6C11"/>
    <w:rsid w:val="001D72E6"/>
    <w:rsid w:val="001E0B19"/>
    <w:rsid w:val="001E15B2"/>
    <w:rsid w:val="001E1A30"/>
    <w:rsid w:val="001E1A54"/>
    <w:rsid w:val="001E1CD8"/>
    <w:rsid w:val="001E2131"/>
    <w:rsid w:val="001E3073"/>
    <w:rsid w:val="001E403B"/>
    <w:rsid w:val="001E5161"/>
    <w:rsid w:val="001E640C"/>
    <w:rsid w:val="001F0052"/>
    <w:rsid w:val="001F078B"/>
    <w:rsid w:val="001F0D73"/>
    <w:rsid w:val="001F243D"/>
    <w:rsid w:val="001F2F7C"/>
    <w:rsid w:val="001F456C"/>
    <w:rsid w:val="001F49D6"/>
    <w:rsid w:val="001F4CEE"/>
    <w:rsid w:val="001F4F02"/>
    <w:rsid w:val="001F4F2C"/>
    <w:rsid w:val="001F50CD"/>
    <w:rsid w:val="001F5FB5"/>
    <w:rsid w:val="001F6EEB"/>
    <w:rsid w:val="001F70B1"/>
    <w:rsid w:val="001F713F"/>
    <w:rsid w:val="002000D1"/>
    <w:rsid w:val="00200851"/>
    <w:rsid w:val="00200B2F"/>
    <w:rsid w:val="00200E60"/>
    <w:rsid w:val="00200ED5"/>
    <w:rsid w:val="00202351"/>
    <w:rsid w:val="0020247F"/>
    <w:rsid w:val="00202F65"/>
    <w:rsid w:val="0020320B"/>
    <w:rsid w:val="00203566"/>
    <w:rsid w:val="00203AC9"/>
    <w:rsid w:val="00204A52"/>
    <w:rsid w:val="002051B7"/>
    <w:rsid w:val="00205728"/>
    <w:rsid w:val="002057B7"/>
    <w:rsid w:val="00205D77"/>
    <w:rsid w:val="002060F0"/>
    <w:rsid w:val="002069A1"/>
    <w:rsid w:val="00207BA4"/>
    <w:rsid w:val="002101F0"/>
    <w:rsid w:val="00210310"/>
    <w:rsid w:val="0021061D"/>
    <w:rsid w:val="00210B0E"/>
    <w:rsid w:val="00210C09"/>
    <w:rsid w:val="00211402"/>
    <w:rsid w:val="0021154F"/>
    <w:rsid w:val="002120CD"/>
    <w:rsid w:val="00212637"/>
    <w:rsid w:val="00212769"/>
    <w:rsid w:val="002131CD"/>
    <w:rsid w:val="002132E1"/>
    <w:rsid w:val="00213B1F"/>
    <w:rsid w:val="00213FF8"/>
    <w:rsid w:val="002147D1"/>
    <w:rsid w:val="002156A0"/>
    <w:rsid w:val="00215ECB"/>
    <w:rsid w:val="0021646B"/>
    <w:rsid w:val="00216C08"/>
    <w:rsid w:val="00216DC5"/>
    <w:rsid w:val="002175FE"/>
    <w:rsid w:val="00217694"/>
    <w:rsid w:val="002179E4"/>
    <w:rsid w:val="00217BF7"/>
    <w:rsid w:val="002201D3"/>
    <w:rsid w:val="00220557"/>
    <w:rsid w:val="002227FF"/>
    <w:rsid w:val="002228D2"/>
    <w:rsid w:val="00222F8B"/>
    <w:rsid w:val="002234A2"/>
    <w:rsid w:val="00223594"/>
    <w:rsid w:val="00223B48"/>
    <w:rsid w:val="00224BBC"/>
    <w:rsid w:val="002251BE"/>
    <w:rsid w:val="00225A28"/>
    <w:rsid w:val="00227284"/>
    <w:rsid w:val="00227C0C"/>
    <w:rsid w:val="00227C85"/>
    <w:rsid w:val="00227D62"/>
    <w:rsid w:val="0023023B"/>
    <w:rsid w:val="002305DA"/>
    <w:rsid w:val="00230687"/>
    <w:rsid w:val="00230D3B"/>
    <w:rsid w:val="00230D40"/>
    <w:rsid w:val="00230FCE"/>
    <w:rsid w:val="00232129"/>
    <w:rsid w:val="002325BB"/>
    <w:rsid w:val="002350D3"/>
    <w:rsid w:val="00235141"/>
    <w:rsid w:val="00235AAA"/>
    <w:rsid w:val="00235DEC"/>
    <w:rsid w:val="0023631F"/>
    <w:rsid w:val="002364B7"/>
    <w:rsid w:val="0023662A"/>
    <w:rsid w:val="00236932"/>
    <w:rsid w:val="0023756C"/>
    <w:rsid w:val="00237E93"/>
    <w:rsid w:val="00240E25"/>
    <w:rsid w:val="00241CCF"/>
    <w:rsid w:val="00241FB7"/>
    <w:rsid w:val="002445D9"/>
    <w:rsid w:val="0024515E"/>
    <w:rsid w:val="0024575A"/>
    <w:rsid w:val="0024581D"/>
    <w:rsid w:val="00246740"/>
    <w:rsid w:val="0024746E"/>
    <w:rsid w:val="0024775F"/>
    <w:rsid w:val="002479D0"/>
    <w:rsid w:val="00250577"/>
    <w:rsid w:val="00251A54"/>
    <w:rsid w:val="00251F83"/>
    <w:rsid w:val="00252339"/>
    <w:rsid w:val="0025247B"/>
    <w:rsid w:val="002527BC"/>
    <w:rsid w:val="00252C7D"/>
    <w:rsid w:val="00252E39"/>
    <w:rsid w:val="0025321E"/>
    <w:rsid w:val="00253501"/>
    <w:rsid w:val="00254490"/>
    <w:rsid w:val="00255019"/>
    <w:rsid w:val="00255383"/>
    <w:rsid w:val="0025549F"/>
    <w:rsid w:val="002557D7"/>
    <w:rsid w:val="00255884"/>
    <w:rsid w:val="00255906"/>
    <w:rsid w:val="00255D59"/>
    <w:rsid w:val="002561FC"/>
    <w:rsid w:val="00257498"/>
    <w:rsid w:val="00257C22"/>
    <w:rsid w:val="00260812"/>
    <w:rsid w:val="00260B81"/>
    <w:rsid w:val="0026108E"/>
    <w:rsid w:val="0026270A"/>
    <w:rsid w:val="00262887"/>
    <w:rsid w:val="00262EE2"/>
    <w:rsid w:val="00263B86"/>
    <w:rsid w:val="00263C48"/>
    <w:rsid w:val="00263CAF"/>
    <w:rsid w:val="00263D43"/>
    <w:rsid w:val="002653C5"/>
    <w:rsid w:val="00265940"/>
    <w:rsid w:val="00265A63"/>
    <w:rsid w:val="00266153"/>
    <w:rsid w:val="002667B0"/>
    <w:rsid w:val="00266A32"/>
    <w:rsid w:val="00266AF5"/>
    <w:rsid w:val="00266DF3"/>
    <w:rsid w:val="00266E5F"/>
    <w:rsid w:val="0026783A"/>
    <w:rsid w:val="00267A4F"/>
    <w:rsid w:val="002700AB"/>
    <w:rsid w:val="002701C9"/>
    <w:rsid w:val="0027106A"/>
    <w:rsid w:val="00271984"/>
    <w:rsid w:val="00271B6A"/>
    <w:rsid w:val="00271D1D"/>
    <w:rsid w:val="00272855"/>
    <w:rsid w:val="00273491"/>
    <w:rsid w:val="002736DF"/>
    <w:rsid w:val="002748C1"/>
    <w:rsid w:val="00274A84"/>
    <w:rsid w:val="00274C68"/>
    <w:rsid w:val="00275371"/>
    <w:rsid w:val="00275575"/>
    <w:rsid w:val="0027564F"/>
    <w:rsid w:val="00277B58"/>
    <w:rsid w:val="002800D8"/>
    <w:rsid w:val="00280E64"/>
    <w:rsid w:val="0028135A"/>
    <w:rsid w:val="00281B0F"/>
    <w:rsid w:val="00281FF1"/>
    <w:rsid w:val="00282B48"/>
    <w:rsid w:val="002837F3"/>
    <w:rsid w:val="0028403B"/>
    <w:rsid w:val="002840EE"/>
    <w:rsid w:val="00285168"/>
    <w:rsid w:val="00285F0D"/>
    <w:rsid w:val="00285FAF"/>
    <w:rsid w:val="00287256"/>
    <w:rsid w:val="0028738A"/>
    <w:rsid w:val="00287CFC"/>
    <w:rsid w:val="0029044C"/>
    <w:rsid w:val="00291445"/>
    <w:rsid w:val="00291D98"/>
    <w:rsid w:val="002926B9"/>
    <w:rsid w:val="0029301D"/>
    <w:rsid w:val="00293AEF"/>
    <w:rsid w:val="00293D34"/>
    <w:rsid w:val="00293FC2"/>
    <w:rsid w:val="00294A15"/>
    <w:rsid w:val="002956AA"/>
    <w:rsid w:val="00296EBB"/>
    <w:rsid w:val="00296F30"/>
    <w:rsid w:val="002978F1"/>
    <w:rsid w:val="00297D91"/>
    <w:rsid w:val="00297F96"/>
    <w:rsid w:val="002A045B"/>
    <w:rsid w:val="002A1185"/>
    <w:rsid w:val="002A12E5"/>
    <w:rsid w:val="002A13FA"/>
    <w:rsid w:val="002A2256"/>
    <w:rsid w:val="002A22B5"/>
    <w:rsid w:val="002A2565"/>
    <w:rsid w:val="002A2F28"/>
    <w:rsid w:val="002A39E7"/>
    <w:rsid w:val="002A3DCF"/>
    <w:rsid w:val="002A3F03"/>
    <w:rsid w:val="002A414A"/>
    <w:rsid w:val="002A4F82"/>
    <w:rsid w:val="002A5407"/>
    <w:rsid w:val="002A5690"/>
    <w:rsid w:val="002A5E6F"/>
    <w:rsid w:val="002A6070"/>
    <w:rsid w:val="002A6544"/>
    <w:rsid w:val="002A6FFE"/>
    <w:rsid w:val="002A70E2"/>
    <w:rsid w:val="002B006E"/>
    <w:rsid w:val="002B1E34"/>
    <w:rsid w:val="002B2E36"/>
    <w:rsid w:val="002B2EDC"/>
    <w:rsid w:val="002B3536"/>
    <w:rsid w:val="002B353B"/>
    <w:rsid w:val="002B35C7"/>
    <w:rsid w:val="002B3B3E"/>
    <w:rsid w:val="002B4710"/>
    <w:rsid w:val="002B47D2"/>
    <w:rsid w:val="002B5223"/>
    <w:rsid w:val="002B5443"/>
    <w:rsid w:val="002B5646"/>
    <w:rsid w:val="002B5EE3"/>
    <w:rsid w:val="002B6311"/>
    <w:rsid w:val="002B6896"/>
    <w:rsid w:val="002B69E0"/>
    <w:rsid w:val="002B6D18"/>
    <w:rsid w:val="002B797C"/>
    <w:rsid w:val="002C03A6"/>
    <w:rsid w:val="002C0401"/>
    <w:rsid w:val="002C0E2F"/>
    <w:rsid w:val="002C1917"/>
    <w:rsid w:val="002C19DE"/>
    <w:rsid w:val="002C278E"/>
    <w:rsid w:val="002C27E5"/>
    <w:rsid w:val="002C32BE"/>
    <w:rsid w:val="002C359E"/>
    <w:rsid w:val="002C395B"/>
    <w:rsid w:val="002C3B82"/>
    <w:rsid w:val="002C42DB"/>
    <w:rsid w:val="002C4371"/>
    <w:rsid w:val="002C4979"/>
    <w:rsid w:val="002C4BDE"/>
    <w:rsid w:val="002C519B"/>
    <w:rsid w:val="002C5B28"/>
    <w:rsid w:val="002C5BC4"/>
    <w:rsid w:val="002C6014"/>
    <w:rsid w:val="002C6B9A"/>
    <w:rsid w:val="002D0CB4"/>
    <w:rsid w:val="002D11EC"/>
    <w:rsid w:val="002D1E43"/>
    <w:rsid w:val="002D273C"/>
    <w:rsid w:val="002D279F"/>
    <w:rsid w:val="002D2E6A"/>
    <w:rsid w:val="002D31F7"/>
    <w:rsid w:val="002D365D"/>
    <w:rsid w:val="002D3AA1"/>
    <w:rsid w:val="002D4127"/>
    <w:rsid w:val="002D4165"/>
    <w:rsid w:val="002D41AB"/>
    <w:rsid w:val="002D4BA8"/>
    <w:rsid w:val="002D5E72"/>
    <w:rsid w:val="002D6960"/>
    <w:rsid w:val="002D7677"/>
    <w:rsid w:val="002D7821"/>
    <w:rsid w:val="002D7E57"/>
    <w:rsid w:val="002E04A6"/>
    <w:rsid w:val="002E0B4B"/>
    <w:rsid w:val="002E153A"/>
    <w:rsid w:val="002E1A2B"/>
    <w:rsid w:val="002E2017"/>
    <w:rsid w:val="002E2B80"/>
    <w:rsid w:val="002E2CA7"/>
    <w:rsid w:val="002E4488"/>
    <w:rsid w:val="002E468C"/>
    <w:rsid w:val="002E48BE"/>
    <w:rsid w:val="002E4A85"/>
    <w:rsid w:val="002E4DCF"/>
    <w:rsid w:val="002E6A52"/>
    <w:rsid w:val="002E6BDF"/>
    <w:rsid w:val="002E7ED9"/>
    <w:rsid w:val="002F1794"/>
    <w:rsid w:val="002F262F"/>
    <w:rsid w:val="002F2A7B"/>
    <w:rsid w:val="002F328B"/>
    <w:rsid w:val="002F335C"/>
    <w:rsid w:val="002F39A5"/>
    <w:rsid w:val="002F46A5"/>
    <w:rsid w:val="002F4921"/>
    <w:rsid w:val="002F4C56"/>
    <w:rsid w:val="002F4E21"/>
    <w:rsid w:val="002F5F27"/>
    <w:rsid w:val="002F6F0B"/>
    <w:rsid w:val="0030073A"/>
    <w:rsid w:val="00301805"/>
    <w:rsid w:val="00302218"/>
    <w:rsid w:val="00302264"/>
    <w:rsid w:val="00303A83"/>
    <w:rsid w:val="00303B28"/>
    <w:rsid w:val="003044F7"/>
    <w:rsid w:val="00304B42"/>
    <w:rsid w:val="00306AF1"/>
    <w:rsid w:val="00306ECF"/>
    <w:rsid w:val="00307469"/>
    <w:rsid w:val="00310510"/>
    <w:rsid w:val="003114D4"/>
    <w:rsid w:val="00311BB4"/>
    <w:rsid w:val="00311E26"/>
    <w:rsid w:val="003124A9"/>
    <w:rsid w:val="00312BAA"/>
    <w:rsid w:val="00312D3E"/>
    <w:rsid w:val="00313683"/>
    <w:rsid w:val="003138BF"/>
    <w:rsid w:val="00313AAB"/>
    <w:rsid w:val="00314B39"/>
    <w:rsid w:val="00315148"/>
    <w:rsid w:val="00315E32"/>
    <w:rsid w:val="0031722A"/>
    <w:rsid w:val="003205DF"/>
    <w:rsid w:val="003227A5"/>
    <w:rsid w:val="00322EB2"/>
    <w:rsid w:val="0032339F"/>
    <w:rsid w:val="00323BEF"/>
    <w:rsid w:val="0032424A"/>
    <w:rsid w:val="003249B3"/>
    <w:rsid w:val="00324B11"/>
    <w:rsid w:val="00324D24"/>
    <w:rsid w:val="0032540D"/>
    <w:rsid w:val="00325C03"/>
    <w:rsid w:val="003266BD"/>
    <w:rsid w:val="00326EA2"/>
    <w:rsid w:val="00327205"/>
    <w:rsid w:val="0032784D"/>
    <w:rsid w:val="00327CDB"/>
    <w:rsid w:val="0033033E"/>
    <w:rsid w:val="0033081F"/>
    <w:rsid w:val="0033171B"/>
    <w:rsid w:val="0033198D"/>
    <w:rsid w:val="00332632"/>
    <w:rsid w:val="0033335F"/>
    <w:rsid w:val="00334036"/>
    <w:rsid w:val="003340AE"/>
    <w:rsid w:val="0033447D"/>
    <w:rsid w:val="00334697"/>
    <w:rsid w:val="00334F95"/>
    <w:rsid w:val="00336459"/>
    <w:rsid w:val="00336792"/>
    <w:rsid w:val="003377F9"/>
    <w:rsid w:val="00337E2B"/>
    <w:rsid w:val="003401A2"/>
    <w:rsid w:val="00340B94"/>
    <w:rsid w:val="00340D45"/>
    <w:rsid w:val="0034119E"/>
    <w:rsid w:val="00343006"/>
    <w:rsid w:val="003430A9"/>
    <w:rsid w:val="00343438"/>
    <w:rsid w:val="00343663"/>
    <w:rsid w:val="00344155"/>
    <w:rsid w:val="0034479E"/>
    <w:rsid w:val="00345478"/>
    <w:rsid w:val="00345883"/>
    <w:rsid w:val="00345B08"/>
    <w:rsid w:val="00345D89"/>
    <w:rsid w:val="00345DB1"/>
    <w:rsid w:val="00346AB4"/>
    <w:rsid w:val="00347A26"/>
    <w:rsid w:val="0035008A"/>
    <w:rsid w:val="0035115F"/>
    <w:rsid w:val="00351330"/>
    <w:rsid w:val="00351A29"/>
    <w:rsid w:val="00351B34"/>
    <w:rsid w:val="00352C88"/>
    <w:rsid w:val="00352EE0"/>
    <w:rsid w:val="003534E8"/>
    <w:rsid w:val="003537D3"/>
    <w:rsid w:val="0035432E"/>
    <w:rsid w:val="003545C6"/>
    <w:rsid w:val="003547F3"/>
    <w:rsid w:val="00354BB7"/>
    <w:rsid w:val="00354C26"/>
    <w:rsid w:val="00354D21"/>
    <w:rsid w:val="00354DA1"/>
    <w:rsid w:val="00355D27"/>
    <w:rsid w:val="00356346"/>
    <w:rsid w:val="0035642F"/>
    <w:rsid w:val="00357380"/>
    <w:rsid w:val="003573D9"/>
    <w:rsid w:val="00357737"/>
    <w:rsid w:val="0035781A"/>
    <w:rsid w:val="00360620"/>
    <w:rsid w:val="00362207"/>
    <w:rsid w:val="00362B15"/>
    <w:rsid w:val="003630A4"/>
    <w:rsid w:val="00363228"/>
    <w:rsid w:val="00363DCB"/>
    <w:rsid w:val="00364191"/>
    <w:rsid w:val="00364753"/>
    <w:rsid w:val="003651D3"/>
    <w:rsid w:val="00365F76"/>
    <w:rsid w:val="00366007"/>
    <w:rsid w:val="003662F2"/>
    <w:rsid w:val="003663AF"/>
    <w:rsid w:val="003665FF"/>
    <w:rsid w:val="00366C9D"/>
    <w:rsid w:val="00366F36"/>
    <w:rsid w:val="00367341"/>
    <w:rsid w:val="00367B14"/>
    <w:rsid w:val="00367DB9"/>
    <w:rsid w:val="00367E01"/>
    <w:rsid w:val="00370A81"/>
    <w:rsid w:val="003713CE"/>
    <w:rsid w:val="00371F34"/>
    <w:rsid w:val="00372A7C"/>
    <w:rsid w:val="00372C95"/>
    <w:rsid w:val="0037370E"/>
    <w:rsid w:val="003751BF"/>
    <w:rsid w:val="0037709F"/>
    <w:rsid w:val="003772AC"/>
    <w:rsid w:val="003776FA"/>
    <w:rsid w:val="00377E69"/>
    <w:rsid w:val="00380025"/>
    <w:rsid w:val="003801EB"/>
    <w:rsid w:val="0038258C"/>
    <w:rsid w:val="00382B4B"/>
    <w:rsid w:val="003832C0"/>
    <w:rsid w:val="003834BC"/>
    <w:rsid w:val="00383CA5"/>
    <w:rsid w:val="00383DA0"/>
    <w:rsid w:val="00384861"/>
    <w:rsid w:val="003848F4"/>
    <w:rsid w:val="00384C9E"/>
    <w:rsid w:val="00384F21"/>
    <w:rsid w:val="0038562A"/>
    <w:rsid w:val="003859E8"/>
    <w:rsid w:val="003864AD"/>
    <w:rsid w:val="003878D8"/>
    <w:rsid w:val="00390825"/>
    <w:rsid w:val="00390C61"/>
    <w:rsid w:val="003917CF"/>
    <w:rsid w:val="00393018"/>
    <w:rsid w:val="00393378"/>
    <w:rsid w:val="003937A4"/>
    <w:rsid w:val="00393A92"/>
    <w:rsid w:val="00393AB3"/>
    <w:rsid w:val="00393D59"/>
    <w:rsid w:val="00395771"/>
    <w:rsid w:val="0039592A"/>
    <w:rsid w:val="00395BE6"/>
    <w:rsid w:val="003965AF"/>
    <w:rsid w:val="00397D32"/>
    <w:rsid w:val="003A03AE"/>
    <w:rsid w:val="003A0B82"/>
    <w:rsid w:val="003A130F"/>
    <w:rsid w:val="003A2038"/>
    <w:rsid w:val="003A2098"/>
    <w:rsid w:val="003A228D"/>
    <w:rsid w:val="003A266A"/>
    <w:rsid w:val="003A2C6A"/>
    <w:rsid w:val="003A31D9"/>
    <w:rsid w:val="003A33A2"/>
    <w:rsid w:val="003A33FF"/>
    <w:rsid w:val="003A34D5"/>
    <w:rsid w:val="003A371E"/>
    <w:rsid w:val="003A3DC1"/>
    <w:rsid w:val="003A4DB8"/>
    <w:rsid w:val="003A5024"/>
    <w:rsid w:val="003A5132"/>
    <w:rsid w:val="003A53DA"/>
    <w:rsid w:val="003A5E3E"/>
    <w:rsid w:val="003A6036"/>
    <w:rsid w:val="003A639F"/>
    <w:rsid w:val="003A6BC0"/>
    <w:rsid w:val="003A7D46"/>
    <w:rsid w:val="003A7EEC"/>
    <w:rsid w:val="003B030B"/>
    <w:rsid w:val="003B03FB"/>
    <w:rsid w:val="003B0A3C"/>
    <w:rsid w:val="003B0A63"/>
    <w:rsid w:val="003B186E"/>
    <w:rsid w:val="003B1B26"/>
    <w:rsid w:val="003B2D54"/>
    <w:rsid w:val="003B346A"/>
    <w:rsid w:val="003B347E"/>
    <w:rsid w:val="003B3C8C"/>
    <w:rsid w:val="003B4119"/>
    <w:rsid w:val="003B4310"/>
    <w:rsid w:val="003B4CF7"/>
    <w:rsid w:val="003B5690"/>
    <w:rsid w:val="003B5B8F"/>
    <w:rsid w:val="003B6349"/>
    <w:rsid w:val="003B6E86"/>
    <w:rsid w:val="003B7964"/>
    <w:rsid w:val="003C03A5"/>
    <w:rsid w:val="003C0AE7"/>
    <w:rsid w:val="003C0CFC"/>
    <w:rsid w:val="003C0F9F"/>
    <w:rsid w:val="003C1061"/>
    <w:rsid w:val="003C13AE"/>
    <w:rsid w:val="003C1B7A"/>
    <w:rsid w:val="003C1D9C"/>
    <w:rsid w:val="003C255C"/>
    <w:rsid w:val="003C33A5"/>
    <w:rsid w:val="003C3CEF"/>
    <w:rsid w:val="003C3CF7"/>
    <w:rsid w:val="003C3D0A"/>
    <w:rsid w:val="003C4DF7"/>
    <w:rsid w:val="003C4E68"/>
    <w:rsid w:val="003C5159"/>
    <w:rsid w:val="003C533F"/>
    <w:rsid w:val="003C55A7"/>
    <w:rsid w:val="003C5FC4"/>
    <w:rsid w:val="003C63AE"/>
    <w:rsid w:val="003C648E"/>
    <w:rsid w:val="003C681C"/>
    <w:rsid w:val="003C70E2"/>
    <w:rsid w:val="003D20B4"/>
    <w:rsid w:val="003D2693"/>
    <w:rsid w:val="003D3156"/>
    <w:rsid w:val="003D3CC7"/>
    <w:rsid w:val="003D4181"/>
    <w:rsid w:val="003D448F"/>
    <w:rsid w:val="003D4CCD"/>
    <w:rsid w:val="003D4E01"/>
    <w:rsid w:val="003D4E06"/>
    <w:rsid w:val="003D6D76"/>
    <w:rsid w:val="003D7471"/>
    <w:rsid w:val="003D74A6"/>
    <w:rsid w:val="003E08FA"/>
    <w:rsid w:val="003E3444"/>
    <w:rsid w:val="003E37CD"/>
    <w:rsid w:val="003E3924"/>
    <w:rsid w:val="003E3F85"/>
    <w:rsid w:val="003E4370"/>
    <w:rsid w:val="003E5C71"/>
    <w:rsid w:val="003E72F7"/>
    <w:rsid w:val="003E776A"/>
    <w:rsid w:val="003E7DAD"/>
    <w:rsid w:val="003E7E1A"/>
    <w:rsid w:val="003F0267"/>
    <w:rsid w:val="003F0439"/>
    <w:rsid w:val="003F0704"/>
    <w:rsid w:val="003F122F"/>
    <w:rsid w:val="003F153A"/>
    <w:rsid w:val="003F17B4"/>
    <w:rsid w:val="003F1B7B"/>
    <w:rsid w:val="003F2D85"/>
    <w:rsid w:val="003F3C9C"/>
    <w:rsid w:val="003F4AEA"/>
    <w:rsid w:val="003F56A1"/>
    <w:rsid w:val="003F588A"/>
    <w:rsid w:val="003F591B"/>
    <w:rsid w:val="003F5937"/>
    <w:rsid w:val="003F5CD0"/>
    <w:rsid w:val="003F5ED4"/>
    <w:rsid w:val="003F6294"/>
    <w:rsid w:val="003F65AA"/>
    <w:rsid w:val="003F674E"/>
    <w:rsid w:val="003F69DD"/>
    <w:rsid w:val="003F69F9"/>
    <w:rsid w:val="003F6E45"/>
    <w:rsid w:val="003F6FD0"/>
    <w:rsid w:val="003F7922"/>
    <w:rsid w:val="003F7C00"/>
    <w:rsid w:val="003F7F77"/>
    <w:rsid w:val="004007DC"/>
    <w:rsid w:val="00400CF1"/>
    <w:rsid w:val="00400D70"/>
    <w:rsid w:val="004010CA"/>
    <w:rsid w:val="004013B8"/>
    <w:rsid w:val="004027BD"/>
    <w:rsid w:val="00403A8E"/>
    <w:rsid w:val="004044EC"/>
    <w:rsid w:val="00404B9F"/>
    <w:rsid w:val="004068E9"/>
    <w:rsid w:val="004071EE"/>
    <w:rsid w:val="0040796C"/>
    <w:rsid w:val="00407972"/>
    <w:rsid w:val="00410136"/>
    <w:rsid w:val="00410202"/>
    <w:rsid w:val="004102E1"/>
    <w:rsid w:val="004103A8"/>
    <w:rsid w:val="004103E0"/>
    <w:rsid w:val="00410C15"/>
    <w:rsid w:val="004112F3"/>
    <w:rsid w:val="0041152A"/>
    <w:rsid w:val="00411BF7"/>
    <w:rsid w:val="00412054"/>
    <w:rsid w:val="00412386"/>
    <w:rsid w:val="00412A13"/>
    <w:rsid w:val="0041332B"/>
    <w:rsid w:val="004138C2"/>
    <w:rsid w:val="00413C28"/>
    <w:rsid w:val="004143FE"/>
    <w:rsid w:val="00414AB6"/>
    <w:rsid w:val="0041576C"/>
    <w:rsid w:val="00415A2E"/>
    <w:rsid w:val="00415AA9"/>
    <w:rsid w:val="004160C3"/>
    <w:rsid w:val="004167C3"/>
    <w:rsid w:val="00416B5A"/>
    <w:rsid w:val="00416ED4"/>
    <w:rsid w:val="004175DD"/>
    <w:rsid w:val="004179FE"/>
    <w:rsid w:val="00417C31"/>
    <w:rsid w:val="0042021C"/>
    <w:rsid w:val="00420BB0"/>
    <w:rsid w:val="00420CC6"/>
    <w:rsid w:val="00420FFE"/>
    <w:rsid w:val="00421118"/>
    <w:rsid w:val="004213BA"/>
    <w:rsid w:val="00421E2C"/>
    <w:rsid w:val="00422327"/>
    <w:rsid w:val="00422DBD"/>
    <w:rsid w:val="00423135"/>
    <w:rsid w:val="004238EB"/>
    <w:rsid w:val="004239A7"/>
    <w:rsid w:val="00423FE2"/>
    <w:rsid w:val="004246C7"/>
    <w:rsid w:val="00424A40"/>
    <w:rsid w:val="0042519A"/>
    <w:rsid w:val="0042540D"/>
    <w:rsid w:val="00425AA8"/>
    <w:rsid w:val="00426070"/>
    <w:rsid w:val="00426393"/>
    <w:rsid w:val="00426A32"/>
    <w:rsid w:val="00426B6A"/>
    <w:rsid w:val="00427CBF"/>
    <w:rsid w:val="004307DE"/>
    <w:rsid w:val="00430811"/>
    <w:rsid w:val="004308EF"/>
    <w:rsid w:val="00430C3E"/>
    <w:rsid w:val="00430F5A"/>
    <w:rsid w:val="004322F2"/>
    <w:rsid w:val="00432C5E"/>
    <w:rsid w:val="00433D98"/>
    <w:rsid w:val="00433E80"/>
    <w:rsid w:val="00434C27"/>
    <w:rsid w:val="00434E2E"/>
    <w:rsid w:val="00434E81"/>
    <w:rsid w:val="00434F76"/>
    <w:rsid w:val="00436AB7"/>
    <w:rsid w:val="0043791F"/>
    <w:rsid w:val="00437B2E"/>
    <w:rsid w:val="00437CBE"/>
    <w:rsid w:val="00437DD3"/>
    <w:rsid w:val="00440416"/>
    <w:rsid w:val="0044144D"/>
    <w:rsid w:val="004414BD"/>
    <w:rsid w:val="00442659"/>
    <w:rsid w:val="00443156"/>
    <w:rsid w:val="00444E29"/>
    <w:rsid w:val="0044509F"/>
    <w:rsid w:val="004450B6"/>
    <w:rsid w:val="0044581D"/>
    <w:rsid w:val="004465B4"/>
    <w:rsid w:val="0044682B"/>
    <w:rsid w:val="00446BB8"/>
    <w:rsid w:val="00446BE0"/>
    <w:rsid w:val="0045072B"/>
    <w:rsid w:val="00450751"/>
    <w:rsid w:val="00451548"/>
    <w:rsid w:val="00451CAB"/>
    <w:rsid w:val="0045241A"/>
    <w:rsid w:val="00453CB3"/>
    <w:rsid w:val="00454707"/>
    <w:rsid w:val="004549AA"/>
    <w:rsid w:val="00455267"/>
    <w:rsid w:val="004557AF"/>
    <w:rsid w:val="0045584F"/>
    <w:rsid w:val="00456004"/>
    <w:rsid w:val="00456ABD"/>
    <w:rsid w:val="00456CDE"/>
    <w:rsid w:val="00457281"/>
    <w:rsid w:val="00460067"/>
    <w:rsid w:val="0046008B"/>
    <w:rsid w:val="004607B9"/>
    <w:rsid w:val="00460B0F"/>
    <w:rsid w:val="00462B8F"/>
    <w:rsid w:val="00462E57"/>
    <w:rsid w:val="00463204"/>
    <w:rsid w:val="004633BA"/>
    <w:rsid w:val="00463750"/>
    <w:rsid w:val="00463BD5"/>
    <w:rsid w:val="004640A1"/>
    <w:rsid w:val="00464E53"/>
    <w:rsid w:val="00465F81"/>
    <w:rsid w:val="0046642A"/>
    <w:rsid w:val="00466574"/>
    <w:rsid w:val="004665C9"/>
    <w:rsid w:val="0046662C"/>
    <w:rsid w:val="00466AE1"/>
    <w:rsid w:val="0046707A"/>
    <w:rsid w:val="00467CEA"/>
    <w:rsid w:val="00468DE6"/>
    <w:rsid w:val="004704A7"/>
    <w:rsid w:val="0047314C"/>
    <w:rsid w:val="00473A86"/>
    <w:rsid w:val="00474978"/>
    <w:rsid w:val="004749F5"/>
    <w:rsid w:val="00474BEC"/>
    <w:rsid w:val="00474D14"/>
    <w:rsid w:val="00475228"/>
    <w:rsid w:val="004755E0"/>
    <w:rsid w:val="004759D8"/>
    <w:rsid w:val="00475F55"/>
    <w:rsid w:val="00476666"/>
    <w:rsid w:val="004769ED"/>
    <w:rsid w:val="00476F12"/>
    <w:rsid w:val="004779F2"/>
    <w:rsid w:val="00480568"/>
    <w:rsid w:val="00480AA4"/>
    <w:rsid w:val="00481A4B"/>
    <w:rsid w:val="00481B96"/>
    <w:rsid w:val="00481F67"/>
    <w:rsid w:val="00482EED"/>
    <w:rsid w:val="00482F5C"/>
    <w:rsid w:val="004830EF"/>
    <w:rsid w:val="004843C3"/>
    <w:rsid w:val="0048533D"/>
    <w:rsid w:val="00485646"/>
    <w:rsid w:val="00485768"/>
    <w:rsid w:val="00485D5C"/>
    <w:rsid w:val="00486481"/>
    <w:rsid w:val="00487093"/>
    <w:rsid w:val="004873BD"/>
    <w:rsid w:val="00490279"/>
    <w:rsid w:val="00490901"/>
    <w:rsid w:val="00490E3F"/>
    <w:rsid w:val="00490EC6"/>
    <w:rsid w:val="00491461"/>
    <w:rsid w:val="00491DC3"/>
    <w:rsid w:val="0049259E"/>
    <w:rsid w:val="00492E9F"/>
    <w:rsid w:val="004930A8"/>
    <w:rsid w:val="00495772"/>
    <w:rsid w:val="0049713A"/>
    <w:rsid w:val="0049752E"/>
    <w:rsid w:val="004A1042"/>
    <w:rsid w:val="004A191B"/>
    <w:rsid w:val="004A237B"/>
    <w:rsid w:val="004A2A24"/>
    <w:rsid w:val="004A3505"/>
    <w:rsid w:val="004A39F3"/>
    <w:rsid w:val="004A45FD"/>
    <w:rsid w:val="004A462B"/>
    <w:rsid w:val="004A4A2F"/>
    <w:rsid w:val="004A4A99"/>
    <w:rsid w:val="004A5630"/>
    <w:rsid w:val="004A5985"/>
    <w:rsid w:val="004A5AE9"/>
    <w:rsid w:val="004A621E"/>
    <w:rsid w:val="004A63E7"/>
    <w:rsid w:val="004A6B90"/>
    <w:rsid w:val="004A6C8B"/>
    <w:rsid w:val="004A7A74"/>
    <w:rsid w:val="004B03B1"/>
    <w:rsid w:val="004B0B5A"/>
    <w:rsid w:val="004B0C11"/>
    <w:rsid w:val="004B1692"/>
    <w:rsid w:val="004B1AE0"/>
    <w:rsid w:val="004B2324"/>
    <w:rsid w:val="004B28D1"/>
    <w:rsid w:val="004B30C9"/>
    <w:rsid w:val="004B31D7"/>
    <w:rsid w:val="004B373D"/>
    <w:rsid w:val="004B411D"/>
    <w:rsid w:val="004B5698"/>
    <w:rsid w:val="004B5B7F"/>
    <w:rsid w:val="004B67AE"/>
    <w:rsid w:val="004B68B3"/>
    <w:rsid w:val="004B6BC2"/>
    <w:rsid w:val="004B711C"/>
    <w:rsid w:val="004B712E"/>
    <w:rsid w:val="004B7872"/>
    <w:rsid w:val="004C19C2"/>
    <w:rsid w:val="004C1EB7"/>
    <w:rsid w:val="004C22D1"/>
    <w:rsid w:val="004C29A3"/>
    <w:rsid w:val="004C2EE1"/>
    <w:rsid w:val="004C2FD9"/>
    <w:rsid w:val="004C30B0"/>
    <w:rsid w:val="004C3469"/>
    <w:rsid w:val="004C3604"/>
    <w:rsid w:val="004C3DE3"/>
    <w:rsid w:val="004C462E"/>
    <w:rsid w:val="004C4AA6"/>
    <w:rsid w:val="004C508A"/>
    <w:rsid w:val="004C619D"/>
    <w:rsid w:val="004C75A8"/>
    <w:rsid w:val="004D007D"/>
    <w:rsid w:val="004D02BF"/>
    <w:rsid w:val="004D0B28"/>
    <w:rsid w:val="004D1481"/>
    <w:rsid w:val="004D1D0F"/>
    <w:rsid w:val="004D1ED5"/>
    <w:rsid w:val="004D2C28"/>
    <w:rsid w:val="004D3135"/>
    <w:rsid w:val="004D33FB"/>
    <w:rsid w:val="004D4229"/>
    <w:rsid w:val="004D4924"/>
    <w:rsid w:val="004D4E08"/>
    <w:rsid w:val="004D4FDE"/>
    <w:rsid w:val="004D5427"/>
    <w:rsid w:val="004D5A36"/>
    <w:rsid w:val="004D5D88"/>
    <w:rsid w:val="004D5E12"/>
    <w:rsid w:val="004D5E2D"/>
    <w:rsid w:val="004D5E56"/>
    <w:rsid w:val="004D69F0"/>
    <w:rsid w:val="004D6D7E"/>
    <w:rsid w:val="004D73A2"/>
    <w:rsid w:val="004D7791"/>
    <w:rsid w:val="004D7A59"/>
    <w:rsid w:val="004D7D19"/>
    <w:rsid w:val="004E0897"/>
    <w:rsid w:val="004E1088"/>
    <w:rsid w:val="004E1699"/>
    <w:rsid w:val="004E239F"/>
    <w:rsid w:val="004E2629"/>
    <w:rsid w:val="004E286E"/>
    <w:rsid w:val="004E35CC"/>
    <w:rsid w:val="004E385D"/>
    <w:rsid w:val="004E3D68"/>
    <w:rsid w:val="004E3F6B"/>
    <w:rsid w:val="004E555E"/>
    <w:rsid w:val="004E74BF"/>
    <w:rsid w:val="004F07F7"/>
    <w:rsid w:val="004F0FDE"/>
    <w:rsid w:val="004F15CE"/>
    <w:rsid w:val="004F1AAB"/>
    <w:rsid w:val="004F1EB0"/>
    <w:rsid w:val="004F23B7"/>
    <w:rsid w:val="004F3A18"/>
    <w:rsid w:val="004F3AB6"/>
    <w:rsid w:val="004F3D06"/>
    <w:rsid w:val="004F3F43"/>
    <w:rsid w:val="004F3FEC"/>
    <w:rsid w:val="004F500D"/>
    <w:rsid w:val="004F54A6"/>
    <w:rsid w:val="004F5B05"/>
    <w:rsid w:val="004F693C"/>
    <w:rsid w:val="004F760A"/>
    <w:rsid w:val="004F7F2A"/>
    <w:rsid w:val="00500283"/>
    <w:rsid w:val="00500A14"/>
    <w:rsid w:val="00501962"/>
    <w:rsid w:val="00502697"/>
    <w:rsid w:val="005038FD"/>
    <w:rsid w:val="005040C3"/>
    <w:rsid w:val="00504137"/>
    <w:rsid w:val="0050492C"/>
    <w:rsid w:val="00505C95"/>
    <w:rsid w:val="0050615A"/>
    <w:rsid w:val="0050615E"/>
    <w:rsid w:val="00506540"/>
    <w:rsid w:val="00507449"/>
    <w:rsid w:val="005074B3"/>
    <w:rsid w:val="00507705"/>
    <w:rsid w:val="00507872"/>
    <w:rsid w:val="00510A09"/>
    <w:rsid w:val="005113F5"/>
    <w:rsid w:val="0051165E"/>
    <w:rsid w:val="00512C36"/>
    <w:rsid w:val="00512E6C"/>
    <w:rsid w:val="00513EE2"/>
    <w:rsid w:val="005140F8"/>
    <w:rsid w:val="005142B0"/>
    <w:rsid w:val="005148F1"/>
    <w:rsid w:val="00515458"/>
    <w:rsid w:val="0051711F"/>
    <w:rsid w:val="00517C1C"/>
    <w:rsid w:val="00517F2E"/>
    <w:rsid w:val="0052041A"/>
    <w:rsid w:val="005205E0"/>
    <w:rsid w:val="00520802"/>
    <w:rsid w:val="00520CB8"/>
    <w:rsid w:val="00520D89"/>
    <w:rsid w:val="0052125D"/>
    <w:rsid w:val="005213AB"/>
    <w:rsid w:val="005216CB"/>
    <w:rsid w:val="00521F67"/>
    <w:rsid w:val="0052223D"/>
    <w:rsid w:val="005227C7"/>
    <w:rsid w:val="005229C0"/>
    <w:rsid w:val="00522EAF"/>
    <w:rsid w:val="005232EF"/>
    <w:rsid w:val="00523562"/>
    <w:rsid w:val="00524F8C"/>
    <w:rsid w:val="005254D6"/>
    <w:rsid w:val="00525795"/>
    <w:rsid w:val="00525AE7"/>
    <w:rsid w:val="00525CBC"/>
    <w:rsid w:val="00525E53"/>
    <w:rsid w:val="00526DAA"/>
    <w:rsid w:val="00526EE8"/>
    <w:rsid w:val="00526F2D"/>
    <w:rsid w:val="00527275"/>
    <w:rsid w:val="00527295"/>
    <w:rsid w:val="005277C6"/>
    <w:rsid w:val="00527D70"/>
    <w:rsid w:val="00530967"/>
    <w:rsid w:val="00531DCE"/>
    <w:rsid w:val="005322D7"/>
    <w:rsid w:val="005327D2"/>
    <w:rsid w:val="00533511"/>
    <w:rsid w:val="00533D60"/>
    <w:rsid w:val="0053486D"/>
    <w:rsid w:val="0053491B"/>
    <w:rsid w:val="00534B5F"/>
    <w:rsid w:val="005351B2"/>
    <w:rsid w:val="005358D3"/>
    <w:rsid w:val="00535B9E"/>
    <w:rsid w:val="00535FEB"/>
    <w:rsid w:val="005371DC"/>
    <w:rsid w:val="005372A5"/>
    <w:rsid w:val="0053755D"/>
    <w:rsid w:val="00537897"/>
    <w:rsid w:val="00537932"/>
    <w:rsid w:val="005405C8"/>
    <w:rsid w:val="005408C0"/>
    <w:rsid w:val="00540E55"/>
    <w:rsid w:val="00540F04"/>
    <w:rsid w:val="0054183E"/>
    <w:rsid w:val="00542746"/>
    <w:rsid w:val="00543C08"/>
    <w:rsid w:val="00544DD4"/>
    <w:rsid w:val="005459D6"/>
    <w:rsid w:val="00546263"/>
    <w:rsid w:val="005469D5"/>
    <w:rsid w:val="005472AF"/>
    <w:rsid w:val="0054753F"/>
    <w:rsid w:val="0054756A"/>
    <w:rsid w:val="00547D7B"/>
    <w:rsid w:val="005514DA"/>
    <w:rsid w:val="00551E46"/>
    <w:rsid w:val="005525F8"/>
    <w:rsid w:val="00552C0C"/>
    <w:rsid w:val="00552DEB"/>
    <w:rsid w:val="005533D4"/>
    <w:rsid w:val="00553FD4"/>
    <w:rsid w:val="00554690"/>
    <w:rsid w:val="00554A8F"/>
    <w:rsid w:val="005554C5"/>
    <w:rsid w:val="00555BC7"/>
    <w:rsid w:val="00555EF4"/>
    <w:rsid w:val="00556821"/>
    <w:rsid w:val="00557236"/>
    <w:rsid w:val="005572F3"/>
    <w:rsid w:val="00557364"/>
    <w:rsid w:val="00557684"/>
    <w:rsid w:val="00557744"/>
    <w:rsid w:val="00557D7D"/>
    <w:rsid w:val="00557E98"/>
    <w:rsid w:val="00560378"/>
    <w:rsid w:val="005604D1"/>
    <w:rsid w:val="0056117A"/>
    <w:rsid w:val="005611D3"/>
    <w:rsid w:val="00561620"/>
    <w:rsid w:val="005618F4"/>
    <w:rsid w:val="00562158"/>
    <w:rsid w:val="00562A27"/>
    <w:rsid w:val="00562D0C"/>
    <w:rsid w:val="00563422"/>
    <w:rsid w:val="00563E8C"/>
    <w:rsid w:val="00564E6F"/>
    <w:rsid w:val="0056562D"/>
    <w:rsid w:val="005660B5"/>
    <w:rsid w:val="005669D6"/>
    <w:rsid w:val="00566A9F"/>
    <w:rsid w:val="00566AEF"/>
    <w:rsid w:val="00570182"/>
    <w:rsid w:val="00570762"/>
    <w:rsid w:val="00570864"/>
    <w:rsid w:val="00570C66"/>
    <w:rsid w:val="0057126C"/>
    <w:rsid w:val="00571A78"/>
    <w:rsid w:val="00571D34"/>
    <w:rsid w:val="005721FE"/>
    <w:rsid w:val="005722FE"/>
    <w:rsid w:val="00572DB0"/>
    <w:rsid w:val="0057396F"/>
    <w:rsid w:val="00573D89"/>
    <w:rsid w:val="005743F6"/>
    <w:rsid w:val="00574466"/>
    <w:rsid w:val="005753D1"/>
    <w:rsid w:val="0057623C"/>
    <w:rsid w:val="00577300"/>
    <w:rsid w:val="00577AD8"/>
    <w:rsid w:val="00577B5B"/>
    <w:rsid w:val="0058050C"/>
    <w:rsid w:val="005808A3"/>
    <w:rsid w:val="00581049"/>
    <w:rsid w:val="00582035"/>
    <w:rsid w:val="00582C66"/>
    <w:rsid w:val="005833A4"/>
    <w:rsid w:val="00583AB9"/>
    <w:rsid w:val="00584450"/>
    <w:rsid w:val="005846D5"/>
    <w:rsid w:val="00584B64"/>
    <w:rsid w:val="00585349"/>
    <w:rsid w:val="005868E0"/>
    <w:rsid w:val="00587539"/>
    <w:rsid w:val="00587642"/>
    <w:rsid w:val="0058785B"/>
    <w:rsid w:val="00587A77"/>
    <w:rsid w:val="00587CB7"/>
    <w:rsid w:val="00587D7B"/>
    <w:rsid w:val="00590C54"/>
    <w:rsid w:val="00591368"/>
    <w:rsid w:val="00592631"/>
    <w:rsid w:val="00592C80"/>
    <w:rsid w:val="00592F1D"/>
    <w:rsid w:val="005933B9"/>
    <w:rsid w:val="005933F0"/>
    <w:rsid w:val="00594F8F"/>
    <w:rsid w:val="005954AC"/>
    <w:rsid w:val="00595978"/>
    <w:rsid w:val="00596ADC"/>
    <w:rsid w:val="00596CD6"/>
    <w:rsid w:val="0059710A"/>
    <w:rsid w:val="005973A8"/>
    <w:rsid w:val="00597681"/>
    <w:rsid w:val="00597A62"/>
    <w:rsid w:val="005A04C7"/>
    <w:rsid w:val="005A20E4"/>
    <w:rsid w:val="005A21A1"/>
    <w:rsid w:val="005A24C7"/>
    <w:rsid w:val="005A3027"/>
    <w:rsid w:val="005A30BE"/>
    <w:rsid w:val="005A3711"/>
    <w:rsid w:val="005A5CBD"/>
    <w:rsid w:val="005A5F24"/>
    <w:rsid w:val="005A6022"/>
    <w:rsid w:val="005A6087"/>
    <w:rsid w:val="005A6509"/>
    <w:rsid w:val="005A699F"/>
    <w:rsid w:val="005A6C38"/>
    <w:rsid w:val="005A7111"/>
    <w:rsid w:val="005A7FE4"/>
    <w:rsid w:val="005B0CE4"/>
    <w:rsid w:val="005B1371"/>
    <w:rsid w:val="005B16A0"/>
    <w:rsid w:val="005B1D6E"/>
    <w:rsid w:val="005B24F8"/>
    <w:rsid w:val="005B2B08"/>
    <w:rsid w:val="005B373C"/>
    <w:rsid w:val="005B43B7"/>
    <w:rsid w:val="005B4799"/>
    <w:rsid w:val="005B4986"/>
    <w:rsid w:val="005B4B15"/>
    <w:rsid w:val="005B526C"/>
    <w:rsid w:val="005B5EF6"/>
    <w:rsid w:val="005B614B"/>
    <w:rsid w:val="005B644D"/>
    <w:rsid w:val="005B6517"/>
    <w:rsid w:val="005B71E7"/>
    <w:rsid w:val="005B765D"/>
    <w:rsid w:val="005B7E4D"/>
    <w:rsid w:val="005B7E74"/>
    <w:rsid w:val="005C057C"/>
    <w:rsid w:val="005C0720"/>
    <w:rsid w:val="005C0FC4"/>
    <w:rsid w:val="005C1C67"/>
    <w:rsid w:val="005C1F6F"/>
    <w:rsid w:val="005C20DC"/>
    <w:rsid w:val="005C2A42"/>
    <w:rsid w:val="005C2B32"/>
    <w:rsid w:val="005C47C6"/>
    <w:rsid w:val="005C4DDF"/>
    <w:rsid w:val="005C4F06"/>
    <w:rsid w:val="005C5465"/>
    <w:rsid w:val="005C5B13"/>
    <w:rsid w:val="005C5C49"/>
    <w:rsid w:val="005C7041"/>
    <w:rsid w:val="005C7205"/>
    <w:rsid w:val="005C7457"/>
    <w:rsid w:val="005C7C8A"/>
    <w:rsid w:val="005C7F3A"/>
    <w:rsid w:val="005D0E46"/>
    <w:rsid w:val="005D1CC6"/>
    <w:rsid w:val="005D1FD3"/>
    <w:rsid w:val="005D2378"/>
    <w:rsid w:val="005D23CF"/>
    <w:rsid w:val="005D23F3"/>
    <w:rsid w:val="005D2AB8"/>
    <w:rsid w:val="005D31DE"/>
    <w:rsid w:val="005D386F"/>
    <w:rsid w:val="005D38A1"/>
    <w:rsid w:val="005D3AED"/>
    <w:rsid w:val="005D434D"/>
    <w:rsid w:val="005D5236"/>
    <w:rsid w:val="005D54AB"/>
    <w:rsid w:val="005D5A06"/>
    <w:rsid w:val="005D628F"/>
    <w:rsid w:val="005D6907"/>
    <w:rsid w:val="005D7222"/>
    <w:rsid w:val="005D774E"/>
    <w:rsid w:val="005E1E1A"/>
    <w:rsid w:val="005E2B92"/>
    <w:rsid w:val="005E326C"/>
    <w:rsid w:val="005E3516"/>
    <w:rsid w:val="005E3DA3"/>
    <w:rsid w:val="005E3F91"/>
    <w:rsid w:val="005E41C8"/>
    <w:rsid w:val="005E441F"/>
    <w:rsid w:val="005E4892"/>
    <w:rsid w:val="005E4B28"/>
    <w:rsid w:val="005E4F3F"/>
    <w:rsid w:val="005E6216"/>
    <w:rsid w:val="005E6E59"/>
    <w:rsid w:val="005E743E"/>
    <w:rsid w:val="005F0A99"/>
    <w:rsid w:val="005F0BE1"/>
    <w:rsid w:val="005F12D5"/>
    <w:rsid w:val="005F1DE7"/>
    <w:rsid w:val="005F3052"/>
    <w:rsid w:val="005F3EBB"/>
    <w:rsid w:val="005F4964"/>
    <w:rsid w:val="005F4F65"/>
    <w:rsid w:val="005F5BAB"/>
    <w:rsid w:val="005F5DE6"/>
    <w:rsid w:val="005F6399"/>
    <w:rsid w:val="005F7806"/>
    <w:rsid w:val="005F7EEC"/>
    <w:rsid w:val="006001BD"/>
    <w:rsid w:val="00600CE2"/>
    <w:rsid w:val="00601893"/>
    <w:rsid w:val="0060297C"/>
    <w:rsid w:val="00602DE0"/>
    <w:rsid w:val="00603498"/>
    <w:rsid w:val="00603D51"/>
    <w:rsid w:val="00604391"/>
    <w:rsid w:val="00604434"/>
    <w:rsid w:val="006053CD"/>
    <w:rsid w:val="006060D6"/>
    <w:rsid w:val="006062FC"/>
    <w:rsid w:val="006079CF"/>
    <w:rsid w:val="00607AE9"/>
    <w:rsid w:val="00610401"/>
    <w:rsid w:val="006109FF"/>
    <w:rsid w:val="00611181"/>
    <w:rsid w:val="006112BC"/>
    <w:rsid w:val="00611F89"/>
    <w:rsid w:val="0061208F"/>
    <w:rsid w:val="006122B7"/>
    <w:rsid w:val="00612D41"/>
    <w:rsid w:val="00613A3D"/>
    <w:rsid w:val="00613A49"/>
    <w:rsid w:val="006146D2"/>
    <w:rsid w:val="00614DAE"/>
    <w:rsid w:val="00615704"/>
    <w:rsid w:val="00616398"/>
    <w:rsid w:val="00617A93"/>
    <w:rsid w:val="006204DE"/>
    <w:rsid w:val="00620A0F"/>
    <w:rsid w:val="00620C85"/>
    <w:rsid w:val="0062169C"/>
    <w:rsid w:val="006218A2"/>
    <w:rsid w:val="00621E89"/>
    <w:rsid w:val="00621F61"/>
    <w:rsid w:val="00622531"/>
    <w:rsid w:val="00623A89"/>
    <w:rsid w:val="0062479C"/>
    <w:rsid w:val="00624BCD"/>
    <w:rsid w:val="00624F37"/>
    <w:rsid w:val="00624F4E"/>
    <w:rsid w:val="006256E3"/>
    <w:rsid w:val="00626302"/>
    <w:rsid w:val="00626C5C"/>
    <w:rsid w:val="00626D14"/>
    <w:rsid w:val="00627102"/>
    <w:rsid w:val="006272B5"/>
    <w:rsid w:val="00630CBE"/>
    <w:rsid w:val="006310F4"/>
    <w:rsid w:val="00631C8F"/>
    <w:rsid w:val="00633811"/>
    <w:rsid w:val="00633E59"/>
    <w:rsid w:val="00634456"/>
    <w:rsid w:val="00634B3E"/>
    <w:rsid w:val="00634BC1"/>
    <w:rsid w:val="0063506C"/>
    <w:rsid w:val="0063611F"/>
    <w:rsid w:val="0063648B"/>
    <w:rsid w:val="006364C0"/>
    <w:rsid w:val="00636E7C"/>
    <w:rsid w:val="00637367"/>
    <w:rsid w:val="00637631"/>
    <w:rsid w:val="00637CBE"/>
    <w:rsid w:val="00640486"/>
    <w:rsid w:val="0064087A"/>
    <w:rsid w:val="00642040"/>
    <w:rsid w:val="006423F3"/>
    <w:rsid w:val="00642810"/>
    <w:rsid w:val="00642934"/>
    <w:rsid w:val="006429B4"/>
    <w:rsid w:val="00644657"/>
    <w:rsid w:val="00644B7A"/>
    <w:rsid w:val="00644C4A"/>
    <w:rsid w:val="006454AA"/>
    <w:rsid w:val="0064579A"/>
    <w:rsid w:val="006463D3"/>
    <w:rsid w:val="00646CEE"/>
    <w:rsid w:val="00647050"/>
    <w:rsid w:val="00647167"/>
    <w:rsid w:val="00650D5B"/>
    <w:rsid w:val="00650D81"/>
    <w:rsid w:val="0065104C"/>
    <w:rsid w:val="00651CD6"/>
    <w:rsid w:val="00652815"/>
    <w:rsid w:val="00652C88"/>
    <w:rsid w:val="00652EE9"/>
    <w:rsid w:val="00652F14"/>
    <w:rsid w:val="006531CF"/>
    <w:rsid w:val="00653B66"/>
    <w:rsid w:val="00654456"/>
    <w:rsid w:val="006547C0"/>
    <w:rsid w:val="00654B58"/>
    <w:rsid w:val="00654BBE"/>
    <w:rsid w:val="00654CD7"/>
    <w:rsid w:val="00655DB4"/>
    <w:rsid w:val="00656158"/>
    <w:rsid w:val="00656845"/>
    <w:rsid w:val="006577FC"/>
    <w:rsid w:val="00660513"/>
    <w:rsid w:val="0066055E"/>
    <w:rsid w:val="00660AE1"/>
    <w:rsid w:val="00660AF1"/>
    <w:rsid w:val="00661324"/>
    <w:rsid w:val="006616C1"/>
    <w:rsid w:val="0066205E"/>
    <w:rsid w:val="00662FB6"/>
    <w:rsid w:val="00663AD5"/>
    <w:rsid w:val="00664FF5"/>
    <w:rsid w:val="00665A38"/>
    <w:rsid w:val="00665D91"/>
    <w:rsid w:val="00665DA5"/>
    <w:rsid w:val="00665FEB"/>
    <w:rsid w:val="00666255"/>
    <w:rsid w:val="006706D0"/>
    <w:rsid w:val="00670DC8"/>
    <w:rsid w:val="00670F90"/>
    <w:rsid w:val="0067141C"/>
    <w:rsid w:val="00671456"/>
    <w:rsid w:val="006732F3"/>
    <w:rsid w:val="00673305"/>
    <w:rsid w:val="00673AC4"/>
    <w:rsid w:val="00674546"/>
    <w:rsid w:val="006746F4"/>
    <w:rsid w:val="00674EF3"/>
    <w:rsid w:val="00675276"/>
    <w:rsid w:val="00675777"/>
    <w:rsid w:val="00675B91"/>
    <w:rsid w:val="00675C2D"/>
    <w:rsid w:val="00676157"/>
    <w:rsid w:val="006770B1"/>
    <w:rsid w:val="0067757E"/>
    <w:rsid w:val="00677BFE"/>
    <w:rsid w:val="00680561"/>
    <w:rsid w:val="00680E96"/>
    <w:rsid w:val="00681D2C"/>
    <w:rsid w:val="0068238B"/>
    <w:rsid w:val="00682403"/>
    <w:rsid w:val="0068248C"/>
    <w:rsid w:val="00682A39"/>
    <w:rsid w:val="00683165"/>
    <w:rsid w:val="006833EE"/>
    <w:rsid w:val="00684007"/>
    <w:rsid w:val="00686443"/>
    <w:rsid w:val="00686645"/>
    <w:rsid w:val="00686D26"/>
    <w:rsid w:val="0068793A"/>
    <w:rsid w:val="00687F00"/>
    <w:rsid w:val="00687F80"/>
    <w:rsid w:val="0069066A"/>
    <w:rsid w:val="006908FA"/>
    <w:rsid w:val="006918ED"/>
    <w:rsid w:val="00691E91"/>
    <w:rsid w:val="006934FF"/>
    <w:rsid w:val="0069398F"/>
    <w:rsid w:val="00693BC2"/>
    <w:rsid w:val="00693C64"/>
    <w:rsid w:val="00693FF2"/>
    <w:rsid w:val="006948C2"/>
    <w:rsid w:val="006949DB"/>
    <w:rsid w:val="00694D3F"/>
    <w:rsid w:val="006950B3"/>
    <w:rsid w:val="0069538B"/>
    <w:rsid w:val="0069588E"/>
    <w:rsid w:val="00695C74"/>
    <w:rsid w:val="006964C3"/>
    <w:rsid w:val="006967A3"/>
    <w:rsid w:val="00697143"/>
    <w:rsid w:val="00697150"/>
    <w:rsid w:val="00697D8C"/>
    <w:rsid w:val="006A0539"/>
    <w:rsid w:val="006A07E9"/>
    <w:rsid w:val="006A0CD3"/>
    <w:rsid w:val="006A19F7"/>
    <w:rsid w:val="006A2161"/>
    <w:rsid w:val="006A2EF4"/>
    <w:rsid w:val="006A35CE"/>
    <w:rsid w:val="006A418E"/>
    <w:rsid w:val="006A4C9E"/>
    <w:rsid w:val="006A50E0"/>
    <w:rsid w:val="006A52C9"/>
    <w:rsid w:val="006A57DB"/>
    <w:rsid w:val="006A6DF6"/>
    <w:rsid w:val="006A7432"/>
    <w:rsid w:val="006A7D98"/>
    <w:rsid w:val="006B00C6"/>
    <w:rsid w:val="006B0404"/>
    <w:rsid w:val="006B065B"/>
    <w:rsid w:val="006B0F4D"/>
    <w:rsid w:val="006B1441"/>
    <w:rsid w:val="006B1787"/>
    <w:rsid w:val="006B2341"/>
    <w:rsid w:val="006B33CD"/>
    <w:rsid w:val="006B36F6"/>
    <w:rsid w:val="006B4499"/>
    <w:rsid w:val="006B4656"/>
    <w:rsid w:val="006B49C4"/>
    <w:rsid w:val="006B6322"/>
    <w:rsid w:val="006B6C05"/>
    <w:rsid w:val="006B779C"/>
    <w:rsid w:val="006B77AB"/>
    <w:rsid w:val="006B7895"/>
    <w:rsid w:val="006B7B50"/>
    <w:rsid w:val="006C0377"/>
    <w:rsid w:val="006C0868"/>
    <w:rsid w:val="006C13DD"/>
    <w:rsid w:val="006C1763"/>
    <w:rsid w:val="006C25BB"/>
    <w:rsid w:val="006C28C2"/>
    <w:rsid w:val="006C2C53"/>
    <w:rsid w:val="006C3200"/>
    <w:rsid w:val="006C32C3"/>
    <w:rsid w:val="006C33E8"/>
    <w:rsid w:val="006C3ED9"/>
    <w:rsid w:val="006C4FC9"/>
    <w:rsid w:val="006C51B5"/>
    <w:rsid w:val="006C53B6"/>
    <w:rsid w:val="006C53BA"/>
    <w:rsid w:val="006C58D3"/>
    <w:rsid w:val="006C5D68"/>
    <w:rsid w:val="006C5E87"/>
    <w:rsid w:val="006C688B"/>
    <w:rsid w:val="006C7DEA"/>
    <w:rsid w:val="006C7FB0"/>
    <w:rsid w:val="006D0D03"/>
    <w:rsid w:val="006D0EC1"/>
    <w:rsid w:val="006D1257"/>
    <w:rsid w:val="006D1DEA"/>
    <w:rsid w:val="006D22BE"/>
    <w:rsid w:val="006D2367"/>
    <w:rsid w:val="006D2C02"/>
    <w:rsid w:val="006D2DA2"/>
    <w:rsid w:val="006D3B82"/>
    <w:rsid w:val="006D3E40"/>
    <w:rsid w:val="006D3FE6"/>
    <w:rsid w:val="006D4239"/>
    <w:rsid w:val="006D4831"/>
    <w:rsid w:val="006D4D8D"/>
    <w:rsid w:val="006D4F24"/>
    <w:rsid w:val="006D4F60"/>
    <w:rsid w:val="006D56FC"/>
    <w:rsid w:val="006D5D61"/>
    <w:rsid w:val="006D5FFD"/>
    <w:rsid w:val="006D601C"/>
    <w:rsid w:val="006D6739"/>
    <w:rsid w:val="006D7046"/>
    <w:rsid w:val="006D7072"/>
    <w:rsid w:val="006D74DF"/>
    <w:rsid w:val="006E004D"/>
    <w:rsid w:val="006E18D9"/>
    <w:rsid w:val="006E1EA1"/>
    <w:rsid w:val="006E290D"/>
    <w:rsid w:val="006E2A8B"/>
    <w:rsid w:val="006E2CF9"/>
    <w:rsid w:val="006E3074"/>
    <w:rsid w:val="006E3D5F"/>
    <w:rsid w:val="006E4305"/>
    <w:rsid w:val="006E55CA"/>
    <w:rsid w:val="006E59D1"/>
    <w:rsid w:val="006E5F65"/>
    <w:rsid w:val="006E6513"/>
    <w:rsid w:val="006E6DFD"/>
    <w:rsid w:val="006E750F"/>
    <w:rsid w:val="006E798A"/>
    <w:rsid w:val="006F00C0"/>
    <w:rsid w:val="006F0324"/>
    <w:rsid w:val="006F1171"/>
    <w:rsid w:val="006F1C1A"/>
    <w:rsid w:val="006F2350"/>
    <w:rsid w:val="006F244D"/>
    <w:rsid w:val="006F24A4"/>
    <w:rsid w:val="006F288A"/>
    <w:rsid w:val="006F2AD7"/>
    <w:rsid w:val="006F32CD"/>
    <w:rsid w:val="006F363E"/>
    <w:rsid w:val="006F3D51"/>
    <w:rsid w:val="006F40C6"/>
    <w:rsid w:val="006F41F9"/>
    <w:rsid w:val="006F5B10"/>
    <w:rsid w:val="006F6675"/>
    <w:rsid w:val="00700026"/>
    <w:rsid w:val="007013B1"/>
    <w:rsid w:val="007014B7"/>
    <w:rsid w:val="007016FC"/>
    <w:rsid w:val="00701C4F"/>
    <w:rsid w:val="00701CD2"/>
    <w:rsid w:val="007021FC"/>
    <w:rsid w:val="007026AF"/>
    <w:rsid w:val="00702CDD"/>
    <w:rsid w:val="007039CC"/>
    <w:rsid w:val="00703A73"/>
    <w:rsid w:val="00703E4C"/>
    <w:rsid w:val="007040ED"/>
    <w:rsid w:val="007045E6"/>
    <w:rsid w:val="00704689"/>
    <w:rsid w:val="00704A7B"/>
    <w:rsid w:val="00704FDF"/>
    <w:rsid w:val="007051E1"/>
    <w:rsid w:val="00706A27"/>
    <w:rsid w:val="007078B0"/>
    <w:rsid w:val="0070799A"/>
    <w:rsid w:val="00710179"/>
    <w:rsid w:val="007101C1"/>
    <w:rsid w:val="007119ED"/>
    <w:rsid w:val="00712D97"/>
    <w:rsid w:val="00713141"/>
    <w:rsid w:val="00713383"/>
    <w:rsid w:val="00713D0A"/>
    <w:rsid w:val="00714463"/>
    <w:rsid w:val="007157B5"/>
    <w:rsid w:val="00715A1C"/>
    <w:rsid w:val="00716AA3"/>
    <w:rsid w:val="00716BC6"/>
    <w:rsid w:val="007173D7"/>
    <w:rsid w:val="00717AE8"/>
    <w:rsid w:val="0072153A"/>
    <w:rsid w:val="00721678"/>
    <w:rsid w:val="007227BF"/>
    <w:rsid w:val="00722ABC"/>
    <w:rsid w:val="007230EB"/>
    <w:rsid w:val="007232DD"/>
    <w:rsid w:val="007239F3"/>
    <w:rsid w:val="00723B72"/>
    <w:rsid w:val="00724383"/>
    <w:rsid w:val="00724C89"/>
    <w:rsid w:val="00724C90"/>
    <w:rsid w:val="00724F7E"/>
    <w:rsid w:val="00724F9A"/>
    <w:rsid w:val="00725F4F"/>
    <w:rsid w:val="00726087"/>
    <w:rsid w:val="0072647B"/>
    <w:rsid w:val="00726BCB"/>
    <w:rsid w:val="0072732C"/>
    <w:rsid w:val="00730252"/>
    <w:rsid w:val="007307BA"/>
    <w:rsid w:val="00730E58"/>
    <w:rsid w:val="0073124C"/>
    <w:rsid w:val="0073459A"/>
    <w:rsid w:val="007345D6"/>
    <w:rsid w:val="00734B49"/>
    <w:rsid w:val="00735452"/>
    <w:rsid w:val="007358D0"/>
    <w:rsid w:val="00735BEA"/>
    <w:rsid w:val="00735E31"/>
    <w:rsid w:val="00735FC7"/>
    <w:rsid w:val="007364B7"/>
    <w:rsid w:val="007368CF"/>
    <w:rsid w:val="0073779D"/>
    <w:rsid w:val="007404B1"/>
    <w:rsid w:val="00740B7F"/>
    <w:rsid w:val="0074120C"/>
    <w:rsid w:val="00741A1C"/>
    <w:rsid w:val="0074212F"/>
    <w:rsid w:val="00742A78"/>
    <w:rsid w:val="00743335"/>
    <w:rsid w:val="00743570"/>
    <w:rsid w:val="00744441"/>
    <w:rsid w:val="00744B5B"/>
    <w:rsid w:val="00745774"/>
    <w:rsid w:val="0074642A"/>
    <w:rsid w:val="00746D33"/>
    <w:rsid w:val="00746FC0"/>
    <w:rsid w:val="00747295"/>
    <w:rsid w:val="007500F0"/>
    <w:rsid w:val="00750436"/>
    <w:rsid w:val="00751804"/>
    <w:rsid w:val="007520DF"/>
    <w:rsid w:val="007521C1"/>
    <w:rsid w:val="007522B7"/>
    <w:rsid w:val="0075289E"/>
    <w:rsid w:val="007531BD"/>
    <w:rsid w:val="00753813"/>
    <w:rsid w:val="00753827"/>
    <w:rsid w:val="00753CC9"/>
    <w:rsid w:val="00753FD0"/>
    <w:rsid w:val="00754911"/>
    <w:rsid w:val="00754BB3"/>
    <w:rsid w:val="00756E8E"/>
    <w:rsid w:val="007570CF"/>
    <w:rsid w:val="00760337"/>
    <w:rsid w:val="00760424"/>
    <w:rsid w:val="00760889"/>
    <w:rsid w:val="007609AE"/>
    <w:rsid w:val="00760A58"/>
    <w:rsid w:val="00761788"/>
    <w:rsid w:val="007618E3"/>
    <w:rsid w:val="00763A4E"/>
    <w:rsid w:val="00764593"/>
    <w:rsid w:val="00765B87"/>
    <w:rsid w:val="007663C1"/>
    <w:rsid w:val="00766631"/>
    <w:rsid w:val="00766D05"/>
    <w:rsid w:val="00767492"/>
    <w:rsid w:val="00767537"/>
    <w:rsid w:val="00770574"/>
    <w:rsid w:val="007706A4"/>
    <w:rsid w:val="00770B04"/>
    <w:rsid w:val="00770CFE"/>
    <w:rsid w:val="00770F26"/>
    <w:rsid w:val="00771C54"/>
    <w:rsid w:val="007722D0"/>
    <w:rsid w:val="007723EF"/>
    <w:rsid w:val="007725E7"/>
    <w:rsid w:val="007725FA"/>
    <w:rsid w:val="00772EEF"/>
    <w:rsid w:val="0077321E"/>
    <w:rsid w:val="007732A7"/>
    <w:rsid w:val="0077457E"/>
    <w:rsid w:val="00775B05"/>
    <w:rsid w:val="00776019"/>
    <w:rsid w:val="00776C92"/>
    <w:rsid w:val="00777110"/>
    <w:rsid w:val="00777FE8"/>
    <w:rsid w:val="007809BC"/>
    <w:rsid w:val="00780B9D"/>
    <w:rsid w:val="00781F9E"/>
    <w:rsid w:val="00782308"/>
    <w:rsid w:val="007832D4"/>
    <w:rsid w:val="00783704"/>
    <w:rsid w:val="00783D24"/>
    <w:rsid w:val="007841F7"/>
    <w:rsid w:val="0078485C"/>
    <w:rsid w:val="00784FAF"/>
    <w:rsid w:val="00785335"/>
    <w:rsid w:val="007869FA"/>
    <w:rsid w:val="00786E6A"/>
    <w:rsid w:val="0078736D"/>
    <w:rsid w:val="007900F2"/>
    <w:rsid w:val="00790849"/>
    <w:rsid w:val="00790E75"/>
    <w:rsid w:val="00791059"/>
    <w:rsid w:val="00791128"/>
    <w:rsid w:val="00791BE6"/>
    <w:rsid w:val="00791C3F"/>
    <w:rsid w:val="00792043"/>
    <w:rsid w:val="007920DF"/>
    <w:rsid w:val="00792341"/>
    <w:rsid w:val="00792DCD"/>
    <w:rsid w:val="00794318"/>
    <w:rsid w:val="00796203"/>
    <w:rsid w:val="00796366"/>
    <w:rsid w:val="007964D5"/>
    <w:rsid w:val="007967C7"/>
    <w:rsid w:val="00796A13"/>
    <w:rsid w:val="00796AF2"/>
    <w:rsid w:val="00796F99"/>
    <w:rsid w:val="00797B7D"/>
    <w:rsid w:val="007A05D7"/>
    <w:rsid w:val="007A0923"/>
    <w:rsid w:val="007A164D"/>
    <w:rsid w:val="007A1751"/>
    <w:rsid w:val="007A1CDE"/>
    <w:rsid w:val="007A1E0B"/>
    <w:rsid w:val="007A21BC"/>
    <w:rsid w:val="007A2A82"/>
    <w:rsid w:val="007A2F72"/>
    <w:rsid w:val="007A3C4E"/>
    <w:rsid w:val="007A3CF9"/>
    <w:rsid w:val="007A41CB"/>
    <w:rsid w:val="007A4270"/>
    <w:rsid w:val="007A45AC"/>
    <w:rsid w:val="007A536D"/>
    <w:rsid w:val="007A5A38"/>
    <w:rsid w:val="007A5EED"/>
    <w:rsid w:val="007A6540"/>
    <w:rsid w:val="007A6AF0"/>
    <w:rsid w:val="007A771E"/>
    <w:rsid w:val="007A7830"/>
    <w:rsid w:val="007A7C3D"/>
    <w:rsid w:val="007B0079"/>
    <w:rsid w:val="007B03AF"/>
    <w:rsid w:val="007B099A"/>
    <w:rsid w:val="007B1892"/>
    <w:rsid w:val="007B203E"/>
    <w:rsid w:val="007B21DE"/>
    <w:rsid w:val="007B2EF6"/>
    <w:rsid w:val="007B32FF"/>
    <w:rsid w:val="007B3515"/>
    <w:rsid w:val="007B3B3F"/>
    <w:rsid w:val="007B3BE9"/>
    <w:rsid w:val="007B3D75"/>
    <w:rsid w:val="007B3F3D"/>
    <w:rsid w:val="007B41CB"/>
    <w:rsid w:val="007B4497"/>
    <w:rsid w:val="007B4897"/>
    <w:rsid w:val="007B5975"/>
    <w:rsid w:val="007B5ADD"/>
    <w:rsid w:val="007B6213"/>
    <w:rsid w:val="007B66DC"/>
    <w:rsid w:val="007C0621"/>
    <w:rsid w:val="007C09ED"/>
    <w:rsid w:val="007C0B59"/>
    <w:rsid w:val="007C1807"/>
    <w:rsid w:val="007C1851"/>
    <w:rsid w:val="007C36B9"/>
    <w:rsid w:val="007C48F8"/>
    <w:rsid w:val="007C4958"/>
    <w:rsid w:val="007C4962"/>
    <w:rsid w:val="007C4C0A"/>
    <w:rsid w:val="007C4C15"/>
    <w:rsid w:val="007C5153"/>
    <w:rsid w:val="007C52D6"/>
    <w:rsid w:val="007C583A"/>
    <w:rsid w:val="007C6790"/>
    <w:rsid w:val="007C6B29"/>
    <w:rsid w:val="007C70E1"/>
    <w:rsid w:val="007C76E8"/>
    <w:rsid w:val="007C794F"/>
    <w:rsid w:val="007C7C76"/>
    <w:rsid w:val="007D0B21"/>
    <w:rsid w:val="007D1755"/>
    <w:rsid w:val="007D19C8"/>
    <w:rsid w:val="007D3293"/>
    <w:rsid w:val="007D3B5F"/>
    <w:rsid w:val="007D3C4A"/>
    <w:rsid w:val="007D4EC7"/>
    <w:rsid w:val="007D56F9"/>
    <w:rsid w:val="007D59A5"/>
    <w:rsid w:val="007D64BD"/>
    <w:rsid w:val="007D74FB"/>
    <w:rsid w:val="007D75B9"/>
    <w:rsid w:val="007E0A13"/>
    <w:rsid w:val="007E0E03"/>
    <w:rsid w:val="007E197C"/>
    <w:rsid w:val="007E2674"/>
    <w:rsid w:val="007E27AA"/>
    <w:rsid w:val="007E27DE"/>
    <w:rsid w:val="007E2C41"/>
    <w:rsid w:val="007E3064"/>
    <w:rsid w:val="007E36C8"/>
    <w:rsid w:val="007E37CC"/>
    <w:rsid w:val="007E3E71"/>
    <w:rsid w:val="007E3F2E"/>
    <w:rsid w:val="007E4890"/>
    <w:rsid w:val="007E5664"/>
    <w:rsid w:val="007E5736"/>
    <w:rsid w:val="007E5872"/>
    <w:rsid w:val="007E645D"/>
    <w:rsid w:val="007E6836"/>
    <w:rsid w:val="007E6BA4"/>
    <w:rsid w:val="007E72A1"/>
    <w:rsid w:val="007E7450"/>
    <w:rsid w:val="007E7FAC"/>
    <w:rsid w:val="007F2CFC"/>
    <w:rsid w:val="007F2FC5"/>
    <w:rsid w:val="007F5F5B"/>
    <w:rsid w:val="007F6A94"/>
    <w:rsid w:val="007F71EA"/>
    <w:rsid w:val="007F762B"/>
    <w:rsid w:val="007F7749"/>
    <w:rsid w:val="007F7907"/>
    <w:rsid w:val="007F7B0E"/>
    <w:rsid w:val="007F7F76"/>
    <w:rsid w:val="0080123D"/>
    <w:rsid w:val="008013DE"/>
    <w:rsid w:val="0080223E"/>
    <w:rsid w:val="008026F4"/>
    <w:rsid w:val="008029A9"/>
    <w:rsid w:val="00803195"/>
    <w:rsid w:val="008033ED"/>
    <w:rsid w:val="00803450"/>
    <w:rsid w:val="008035BC"/>
    <w:rsid w:val="008036BD"/>
    <w:rsid w:val="00803CD0"/>
    <w:rsid w:val="008042FF"/>
    <w:rsid w:val="008044DF"/>
    <w:rsid w:val="00804F07"/>
    <w:rsid w:val="00805DAB"/>
    <w:rsid w:val="008069E7"/>
    <w:rsid w:val="00806A60"/>
    <w:rsid w:val="00807787"/>
    <w:rsid w:val="00810C0C"/>
    <w:rsid w:val="00810E22"/>
    <w:rsid w:val="008110D8"/>
    <w:rsid w:val="008114FC"/>
    <w:rsid w:val="00811EC7"/>
    <w:rsid w:val="00813326"/>
    <w:rsid w:val="00813481"/>
    <w:rsid w:val="00814990"/>
    <w:rsid w:val="00814A2F"/>
    <w:rsid w:val="008152BC"/>
    <w:rsid w:val="0081535D"/>
    <w:rsid w:val="00815637"/>
    <w:rsid w:val="0081607E"/>
    <w:rsid w:val="008160A4"/>
    <w:rsid w:val="0081672C"/>
    <w:rsid w:val="00816F8D"/>
    <w:rsid w:val="008201D8"/>
    <w:rsid w:val="008205A3"/>
    <w:rsid w:val="00820AC9"/>
    <w:rsid w:val="00820B42"/>
    <w:rsid w:val="00820B4A"/>
    <w:rsid w:val="00820B6B"/>
    <w:rsid w:val="00821D03"/>
    <w:rsid w:val="00822276"/>
    <w:rsid w:val="008224AF"/>
    <w:rsid w:val="008226EC"/>
    <w:rsid w:val="008232CA"/>
    <w:rsid w:val="008234A4"/>
    <w:rsid w:val="008239F3"/>
    <w:rsid w:val="00823E6D"/>
    <w:rsid w:val="008254FC"/>
    <w:rsid w:val="008255F2"/>
    <w:rsid w:val="00825B30"/>
    <w:rsid w:val="008261F9"/>
    <w:rsid w:val="0082661F"/>
    <w:rsid w:val="0082688F"/>
    <w:rsid w:val="00826E66"/>
    <w:rsid w:val="00826E7E"/>
    <w:rsid w:val="00830452"/>
    <w:rsid w:val="008315EB"/>
    <w:rsid w:val="008323AF"/>
    <w:rsid w:val="0083317D"/>
    <w:rsid w:val="008331C7"/>
    <w:rsid w:val="00833D24"/>
    <w:rsid w:val="008350A3"/>
    <w:rsid w:val="00835BC0"/>
    <w:rsid w:val="008362B8"/>
    <w:rsid w:val="00836A14"/>
    <w:rsid w:val="00837EC5"/>
    <w:rsid w:val="00840310"/>
    <w:rsid w:val="008403F6"/>
    <w:rsid w:val="0084072C"/>
    <w:rsid w:val="00840D5A"/>
    <w:rsid w:val="008413A5"/>
    <w:rsid w:val="00841CC3"/>
    <w:rsid w:val="00841EAF"/>
    <w:rsid w:val="00841FA1"/>
    <w:rsid w:val="008423ED"/>
    <w:rsid w:val="008424ED"/>
    <w:rsid w:val="008429BA"/>
    <w:rsid w:val="00842DE7"/>
    <w:rsid w:val="00843876"/>
    <w:rsid w:val="008439B5"/>
    <w:rsid w:val="00843EEA"/>
    <w:rsid w:val="008445E8"/>
    <w:rsid w:val="00844973"/>
    <w:rsid w:val="008453B2"/>
    <w:rsid w:val="00845457"/>
    <w:rsid w:val="008456D6"/>
    <w:rsid w:val="00846BBF"/>
    <w:rsid w:val="00846E5D"/>
    <w:rsid w:val="00846FB1"/>
    <w:rsid w:val="0084735E"/>
    <w:rsid w:val="0085050C"/>
    <w:rsid w:val="00850ABB"/>
    <w:rsid w:val="00850DA1"/>
    <w:rsid w:val="00850E50"/>
    <w:rsid w:val="00850ED7"/>
    <w:rsid w:val="0085156F"/>
    <w:rsid w:val="00851689"/>
    <w:rsid w:val="00852205"/>
    <w:rsid w:val="00852541"/>
    <w:rsid w:val="0085258F"/>
    <w:rsid w:val="00852CE8"/>
    <w:rsid w:val="00855636"/>
    <w:rsid w:val="008579D2"/>
    <w:rsid w:val="008604FF"/>
    <w:rsid w:val="00860CB5"/>
    <w:rsid w:val="0086156F"/>
    <w:rsid w:val="008617A1"/>
    <w:rsid w:val="008617DF"/>
    <w:rsid w:val="00861AB9"/>
    <w:rsid w:val="00861B2E"/>
    <w:rsid w:val="00861CD9"/>
    <w:rsid w:val="008628DC"/>
    <w:rsid w:val="00862B0E"/>
    <w:rsid w:val="00862E90"/>
    <w:rsid w:val="00863BCB"/>
    <w:rsid w:val="00864349"/>
    <w:rsid w:val="00864440"/>
    <w:rsid w:val="008656B1"/>
    <w:rsid w:val="008656BA"/>
    <w:rsid w:val="008658D6"/>
    <w:rsid w:val="00865A69"/>
    <w:rsid w:val="00865C9D"/>
    <w:rsid w:val="00866F5B"/>
    <w:rsid w:val="0086773C"/>
    <w:rsid w:val="00867AB0"/>
    <w:rsid w:val="00867F84"/>
    <w:rsid w:val="00870C38"/>
    <w:rsid w:val="00871718"/>
    <w:rsid w:val="008726BF"/>
    <w:rsid w:val="00872845"/>
    <w:rsid w:val="0087288B"/>
    <w:rsid w:val="00872B7C"/>
    <w:rsid w:val="0087376F"/>
    <w:rsid w:val="00874E45"/>
    <w:rsid w:val="008750D5"/>
    <w:rsid w:val="00875D56"/>
    <w:rsid w:val="008760FA"/>
    <w:rsid w:val="008764FC"/>
    <w:rsid w:val="0087658F"/>
    <w:rsid w:val="00876A56"/>
    <w:rsid w:val="00876F97"/>
    <w:rsid w:val="008773B6"/>
    <w:rsid w:val="00877B8D"/>
    <w:rsid w:val="00880058"/>
    <w:rsid w:val="0088019C"/>
    <w:rsid w:val="008802FE"/>
    <w:rsid w:val="00883409"/>
    <w:rsid w:val="008835EB"/>
    <w:rsid w:val="008838A8"/>
    <w:rsid w:val="008847A9"/>
    <w:rsid w:val="00884A31"/>
    <w:rsid w:val="00885A8A"/>
    <w:rsid w:val="00885E8A"/>
    <w:rsid w:val="008860C0"/>
    <w:rsid w:val="008874D7"/>
    <w:rsid w:val="00887A11"/>
    <w:rsid w:val="008911EC"/>
    <w:rsid w:val="00892346"/>
    <w:rsid w:val="00892742"/>
    <w:rsid w:val="00892B1E"/>
    <w:rsid w:val="00892D25"/>
    <w:rsid w:val="00893F4E"/>
    <w:rsid w:val="008942CD"/>
    <w:rsid w:val="00894816"/>
    <w:rsid w:val="008954AC"/>
    <w:rsid w:val="008955D6"/>
    <w:rsid w:val="008956F8"/>
    <w:rsid w:val="0089578B"/>
    <w:rsid w:val="0089592F"/>
    <w:rsid w:val="00895A03"/>
    <w:rsid w:val="00895D8C"/>
    <w:rsid w:val="00896F42"/>
    <w:rsid w:val="008974A8"/>
    <w:rsid w:val="008974BC"/>
    <w:rsid w:val="008974C9"/>
    <w:rsid w:val="0089756D"/>
    <w:rsid w:val="00897E9B"/>
    <w:rsid w:val="008A0282"/>
    <w:rsid w:val="008A109C"/>
    <w:rsid w:val="008A1257"/>
    <w:rsid w:val="008A1581"/>
    <w:rsid w:val="008A2060"/>
    <w:rsid w:val="008A2AB1"/>
    <w:rsid w:val="008A383B"/>
    <w:rsid w:val="008A3E8C"/>
    <w:rsid w:val="008A5039"/>
    <w:rsid w:val="008A5515"/>
    <w:rsid w:val="008A5B79"/>
    <w:rsid w:val="008A60D7"/>
    <w:rsid w:val="008A61FA"/>
    <w:rsid w:val="008A64EF"/>
    <w:rsid w:val="008A689B"/>
    <w:rsid w:val="008A6987"/>
    <w:rsid w:val="008A6C80"/>
    <w:rsid w:val="008A716F"/>
    <w:rsid w:val="008A75FD"/>
    <w:rsid w:val="008B127A"/>
    <w:rsid w:val="008B12D0"/>
    <w:rsid w:val="008B13A3"/>
    <w:rsid w:val="008B1805"/>
    <w:rsid w:val="008B187A"/>
    <w:rsid w:val="008B1887"/>
    <w:rsid w:val="008B1BF9"/>
    <w:rsid w:val="008B1F05"/>
    <w:rsid w:val="008B266E"/>
    <w:rsid w:val="008B370B"/>
    <w:rsid w:val="008B3AD9"/>
    <w:rsid w:val="008B3ADD"/>
    <w:rsid w:val="008B4E50"/>
    <w:rsid w:val="008B4F58"/>
    <w:rsid w:val="008B50F0"/>
    <w:rsid w:val="008B588E"/>
    <w:rsid w:val="008B79E6"/>
    <w:rsid w:val="008C1CA1"/>
    <w:rsid w:val="008C28E7"/>
    <w:rsid w:val="008C2D31"/>
    <w:rsid w:val="008C30E2"/>
    <w:rsid w:val="008C31BE"/>
    <w:rsid w:val="008C3E0D"/>
    <w:rsid w:val="008C40BA"/>
    <w:rsid w:val="008C4A50"/>
    <w:rsid w:val="008C4BFF"/>
    <w:rsid w:val="008C511C"/>
    <w:rsid w:val="008C5D0A"/>
    <w:rsid w:val="008C5F83"/>
    <w:rsid w:val="008C77FF"/>
    <w:rsid w:val="008C7A76"/>
    <w:rsid w:val="008D058F"/>
    <w:rsid w:val="008D0914"/>
    <w:rsid w:val="008D0B5C"/>
    <w:rsid w:val="008D2016"/>
    <w:rsid w:val="008D30A8"/>
    <w:rsid w:val="008D34FA"/>
    <w:rsid w:val="008D3BA1"/>
    <w:rsid w:val="008D4FD9"/>
    <w:rsid w:val="008D513E"/>
    <w:rsid w:val="008D5876"/>
    <w:rsid w:val="008D7D79"/>
    <w:rsid w:val="008E0536"/>
    <w:rsid w:val="008E14D0"/>
    <w:rsid w:val="008E1DE5"/>
    <w:rsid w:val="008E4ED5"/>
    <w:rsid w:val="008E5930"/>
    <w:rsid w:val="008E6009"/>
    <w:rsid w:val="008E61DA"/>
    <w:rsid w:val="008E62B0"/>
    <w:rsid w:val="008E62E2"/>
    <w:rsid w:val="008F0333"/>
    <w:rsid w:val="008F0341"/>
    <w:rsid w:val="008F05FD"/>
    <w:rsid w:val="008F1289"/>
    <w:rsid w:val="008F20F6"/>
    <w:rsid w:val="008F39ED"/>
    <w:rsid w:val="008F4486"/>
    <w:rsid w:val="008F44FA"/>
    <w:rsid w:val="008F4BEA"/>
    <w:rsid w:val="008F525A"/>
    <w:rsid w:val="008F5293"/>
    <w:rsid w:val="008F576F"/>
    <w:rsid w:val="008F5B9F"/>
    <w:rsid w:val="008F67A0"/>
    <w:rsid w:val="008F738F"/>
    <w:rsid w:val="008F79E2"/>
    <w:rsid w:val="00900654"/>
    <w:rsid w:val="009008E4"/>
    <w:rsid w:val="00900988"/>
    <w:rsid w:val="00900B67"/>
    <w:rsid w:val="00900C59"/>
    <w:rsid w:val="0090170C"/>
    <w:rsid w:val="00901775"/>
    <w:rsid w:val="00901939"/>
    <w:rsid w:val="00901F7A"/>
    <w:rsid w:val="009022BF"/>
    <w:rsid w:val="0090298B"/>
    <w:rsid w:val="00903234"/>
    <w:rsid w:val="009035C1"/>
    <w:rsid w:val="00903630"/>
    <w:rsid w:val="00903DA2"/>
    <w:rsid w:val="009048FB"/>
    <w:rsid w:val="009049A8"/>
    <w:rsid w:val="00904C7D"/>
    <w:rsid w:val="00905811"/>
    <w:rsid w:val="00906548"/>
    <w:rsid w:val="00906DF2"/>
    <w:rsid w:val="00906F69"/>
    <w:rsid w:val="00907414"/>
    <w:rsid w:val="00907857"/>
    <w:rsid w:val="009100CB"/>
    <w:rsid w:val="00911381"/>
    <w:rsid w:val="00911802"/>
    <w:rsid w:val="00912059"/>
    <w:rsid w:val="009127A6"/>
    <w:rsid w:val="009136D0"/>
    <w:rsid w:val="00913A26"/>
    <w:rsid w:val="009142C3"/>
    <w:rsid w:val="00914781"/>
    <w:rsid w:val="009148A1"/>
    <w:rsid w:val="009148D3"/>
    <w:rsid w:val="00915C54"/>
    <w:rsid w:val="00915F1E"/>
    <w:rsid w:val="00916674"/>
    <w:rsid w:val="00916D87"/>
    <w:rsid w:val="009171E2"/>
    <w:rsid w:val="00917AB8"/>
    <w:rsid w:val="00917CDC"/>
    <w:rsid w:val="009202E3"/>
    <w:rsid w:val="00921228"/>
    <w:rsid w:val="009212F1"/>
    <w:rsid w:val="0092132C"/>
    <w:rsid w:val="009219FC"/>
    <w:rsid w:val="00921D5A"/>
    <w:rsid w:val="009220F4"/>
    <w:rsid w:val="00922912"/>
    <w:rsid w:val="00923614"/>
    <w:rsid w:val="009236F4"/>
    <w:rsid w:val="00923A7A"/>
    <w:rsid w:val="00923BBA"/>
    <w:rsid w:val="0092404C"/>
    <w:rsid w:val="00924521"/>
    <w:rsid w:val="00924B2A"/>
    <w:rsid w:val="009260B1"/>
    <w:rsid w:val="00926AA8"/>
    <w:rsid w:val="00927B67"/>
    <w:rsid w:val="00927CD1"/>
    <w:rsid w:val="009303FF"/>
    <w:rsid w:val="00930F20"/>
    <w:rsid w:val="009326B3"/>
    <w:rsid w:val="00933EF1"/>
    <w:rsid w:val="009341A2"/>
    <w:rsid w:val="00934253"/>
    <w:rsid w:val="009342FE"/>
    <w:rsid w:val="0093449F"/>
    <w:rsid w:val="00934DC5"/>
    <w:rsid w:val="00934F41"/>
    <w:rsid w:val="00935569"/>
    <w:rsid w:val="00936043"/>
    <w:rsid w:val="00936255"/>
    <w:rsid w:val="00936974"/>
    <w:rsid w:val="00936EE2"/>
    <w:rsid w:val="00936F6B"/>
    <w:rsid w:val="009371B5"/>
    <w:rsid w:val="009377B3"/>
    <w:rsid w:val="00937A09"/>
    <w:rsid w:val="00937C01"/>
    <w:rsid w:val="009403D0"/>
    <w:rsid w:val="009408D3"/>
    <w:rsid w:val="0094092B"/>
    <w:rsid w:val="009410F4"/>
    <w:rsid w:val="00941199"/>
    <w:rsid w:val="009411F4"/>
    <w:rsid w:val="00941639"/>
    <w:rsid w:val="009419FF"/>
    <w:rsid w:val="00943F43"/>
    <w:rsid w:val="00944457"/>
    <w:rsid w:val="00944B2D"/>
    <w:rsid w:val="00944B97"/>
    <w:rsid w:val="00945277"/>
    <w:rsid w:val="0094604C"/>
    <w:rsid w:val="009464F2"/>
    <w:rsid w:val="009466A0"/>
    <w:rsid w:val="009469B5"/>
    <w:rsid w:val="00946E4D"/>
    <w:rsid w:val="00947269"/>
    <w:rsid w:val="00947A0F"/>
    <w:rsid w:val="0095079B"/>
    <w:rsid w:val="00950831"/>
    <w:rsid w:val="009508B0"/>
    <w:rsid w:val="00950CBA"/>
    <w:rsid w:val="00950E8D"/>
    <w:rsid w:val="0095125E"/>
    <w:rsid w:val="00951856"/>
    <w:rsid w:val="009525C2"/>
    <w:rsid w:val="009525F8"/>
    <w:rsid w:val="009531DF"/>
    <w:rsid w:val="00953A25"/>
    <w:rsid w:val="00953E8E"/>
    <w:rsid w:val="009540F6"/>
    <w:rsid w:val="00955113"/>
    <w:rsid w:val="00955318"/>
    <w:rsid w:val="0095629D"/>
    <w:rsid w:val="00956376"/>
    <w:rsid w:val="009568E0"/>
    <w:rsid w:val="00957134"/>
    <w:rsid w:val="00957267"/>
    <w:rsid w:val="00957528"/>
    <w:rsid w:val="009577FA"/>
    <w:rsid w:val="00960832"/>
    <w:rsid w:val="00960A49"/>
    <w:rsid w:val="00961128"/>
    <w:rsid w:val="00961579"/>
    <w:rsid w:val="00962EA0"/>
    <w:rsid w:val="00962F8D"/>
    <w:rsid w:val="00964019"/>
    <w:rsid w:val="009642F6"/>
    <w:rsid w:val="0096450E"/>
    <w:rsid w:val="009657E9"/>
    <w:rsid w:val="00965AB5"/>
    <w:rsid w:val="00966345"/>
    <w:rsid w:val="0096641F"/>
    <w:rsid w:val="00966ADA"/>
    <w:rsid w:val="00967181"/>
    <w:rsid w:val="00967582"/>
    <w:rsid w:val="00967EB2"/>
    <w:rsid w:val="0097007B"/>
    <w:rsid w:val="009703EC"/>
    <w:rsid w:val="009705B2"/>
    <w:rsid w:val="0097124E"/>
    <w:rsid w:val="009713A0"/>
    <w:rsid w:val="00971688"/>
    <w:rsid w:val="00972CDC"/>
    <w:rsid w:val="009731EB"/>
    <w:rsid w:val="009733B2"/>
    <w:rsid w:val="0097492A"/>
    <w:rsid w:val="0097493D"/>
    <w:rsid w:val="00974F54"/>
    <w:rsid w:val="009752EC"/>
    <w:rsid w:val="0097645B"/>
    <w:rsid w:val="00977088"/>
    <w:rsid w:val="00977448"/>
    <w:rsid w:val="00977561"/>
    <w:rsid w:val="00977AB9"/>
    <w:rsid w:val="00977F5C"/>
    <w:rsid w:val="009808D1"/>
    <w:rsid w:val="00981173"/>
    <w:rsid w:val="00981711"/>
    <w:rsid w:val="00981D57"/>
    <w:rsid w:val="00982F8F"/>
    <w:rsid w:val="009834D4"/>
    <w:rsid w:val="009839A1"/>
    <w:rsid w:val="00984FEA"/>
    <w:rsid w:val="009855E3"/>
    <w:rsid w:val="00985B97"/>
    <w:rsid w:val="00985C93"/>
    <w:rsid w:val="00985E0A"/>
    <w:rsid w:val="009862E8"/>
    <w:rsid w:val="00986E5B"/>
    <w:rsid w:val="00986F95"/>
    <w:rsid w:val="0098759E"/>
    <w:rsid w:val="00987AF2"/>
    <w:rsid w:val="00987CC1"/>
    <w:rsid w:val="00991841"/>
    <w:rsid w:val="0099243C"/>
    <w:rsid w:val="009929CD"/>
    <w:rsid w:val="0099310C"/>
    <w:rsid w:val="009938D2"/>
    <w:rsid w:val="0099405B"/>
    <w:rsid w:val="00994CBC"/>
    <w:rsid w:val="009951DE"/>
    <w:rsid w:val="00995542"/>
    <w:rsid w:val="00995629"/>
    <w:rsid w:val="00995ACC"/>
    <w:rsid w:val="00995BE8"/>
    <w:rsid w:val="00995C7D"/>
    <w:rsid w:val="009961CF"/>
    <w:rsid w:val="00997CEC"/>
    <w:rsid w:val="00997DF9"/>
    <w:rsid w:val="00997EC8"/>
    <w:rsid w:val="009A0842"/>
    <w:rsid w:val="009A34B2"/>
    <w:rsid w:val="009A3A2C"/>
    <w:rsid w:val="009A3EA1"/>
    <w:rsid w:val="009A407D"/>
    <w:rsid w:val="009A4191"/>
    <w:rsid w:val="009A5670"/>
    <w:rsid w:val="009A56CC"/>
    <w:rsid w:val="009A5C2F"/>
    <w:rsid w:val="009A5FDE"/>
    <w:rsid w:val="009A6006"/>
    <w:rsid w:val="009A64A4"/>
    <w:rsid w:val="009A64C0"/>
    <w:rsid w:val="009B055D"/>
    <w:rsid w:val="009B081B"/>
    <w:rsid w:val="009B11E4"/>
    <w:rsid w:val="009B1769"/>
    <w:rsid w:val="009B1FE2"/>
    <w:rsid w:val="009B2D54"/>
    <w:rsid w:val="009B354C"/>
    <w:rsid w:val="009B3AFA"/>
    <w:rsid w:val="009B3CF6"/>
    <w:rsid w:val="009B449A"/>
    <w:rsid w:val="009B4B89"/>
    <w:rsid w:val="009B4F33"/>
    <w:rsid w:val="009B5653"/>
    <w:rsid w:val="009B57A0"/>
    <w:rsid w:val="009B58CC"/>
    <w:rsid w:val="009B5B67"/>
    <w:rsid w:val="009B5FDB"/>
    <w:rsid w:val="009B673D"/>
    <w:rsid w:val="009B6848"/>
    <w:rsid w:val="009B690A"/>
    <w:rsid w:val="009B6932"/>
    <w:rsid w:val="009B73A8"/>
    <w:rsid w:val="009C00FD"/>
    <w:rsid w:val="009C095B"/>
    <w:rsid w:val="009C10A6"/>
    <w:rsid w:val="009C116F"/>
    <w:rsid w:val="009C134C"/>
    <w:rsid w:val="009C1C26"/>
    <w:rsid w:val="009C2F7E"/>
    <w:rsid w:val="009C30CE"/>
    <w:rsid w:val="009C319C"/>
    <w:rsid w:val="009C4E02"/>
    <w:rsid w:val="009C4F0F"/>
    <w:rsid w:val="009C55E8"/>
    <w:rsid w:val="009C5A1E"/>
    <w:rsid w:val="009C6617"/>
    <w:rsid w:val="009C6881"/>
    <w:rsid w:val="009C6B46"/>
    <w:rsid w:val="009C7823"/>
    <w:rsid w:val="009C7D38"/>
    <w:rsid w:val="009C7D4D"/>
    <w:rsid w:val="009D024E"/>
    <w:rsid w:val="009D0B65"/>
    <w:rsid w:val="009D0B7D"/>
    <w:rsid w:val="009D1664"/>
    <w:rsid w:val="009D1B11"/>
    <w:rsid w:val="009D1F2E"/>
    <w:rsid w:val="009D264C"/>
    <w:rsid w:val="009D3017"/>
    <w:rsid w:val="009D391A"/>
    <w:rsid w:val="009D3A60"/>
    <w:rsid w:val="009D4A37"/>
    <w:rsid w:val="009D54FB"/>
    <w:rsid w:val="009D5548"/>
    <w:rsid w:val="009D57DC"/>
    <w:rsid w:val="009D5812"/>
    <w:rsid w:val="009D5EA5"/>
    <w:rsid w:val="009D685C"/>
    <w:rsid w:val="009D7F39"/>
    <w:rsid w:val="009E0103"/>
    <w:rsid w:val="009E1242"/>
    <w:rsid w:val="009E2A3D"/>
    <w:rsid w:val="009E2A73"/>
    <w:rsid w:val="009E2B8F"/>
    <w:rsid w:val="009E33BF"/>
    <w:rsid w:val="009E5271"/>
    <w:rsid w:val="009E5B3A"/>
    <w:rsid w:val="009E67ED"/>
    <w:rsid w:val="009E6F32"/>
    <w:rsid w:val="009E759D"/>
    <w:rsid w:val="009E792C"/>
    <w:rsid w:val="009F05DB"/>
    <w:rsid w:val="009F1337"/>
    <w:rsid w:val="009F1C06"/>
    <w:rsid w:val="009F23AD"/>
    <w:rsid w:val="009F24F6"/>
    <w:rsid w:val="009F32B7"/>
    <w:rsid w:val="009F3BFB"/>
    <w:rsid w:val="009F4476"/>
    <w:rsid w:val="009F4B20"/>
    <w:rsid w:val="009F51D5"/>
    <w:rsid w:val="009F541C"/>
    <w:rsid w:val="009F6868"/>
    <w:rsid w:val="009F6E61"/>
    <w:rsid w:val="009F6F37"/>
    <w:rsid w:val="009F7441"/>
    <w:rsid w:val="00A000C8"/>
    <w:rsid w:val="00A0083B"/>
    <w:rsid w:val="00A00FF4"/>
    <w:rsid w:val="00A01043"/>
    <w:rsid w:val="00A0131C"/>
    <w:rsid w:val="00A0195F"/>
    <w:rsid w:val="00A01B08"/>
    <w:rsid w:val="00A01E77"/>
    <w:rsid w:val="00A02395"/>
    <w:rsid w:val="00A04188"/>
    <w:rsid w:val="00A0513A"/>
    <w:rsid w:val="00A05A8E"/>
    <w:rsid w:val="00A062E3"/>
    <w:rsid w:val="00A07062"/>
    <w:rsid w:val="00A070D7"/>
    <w:rsid w:val="00A07750"/>
    <w:rsid w:val="00A07A24"/>
    <w:rsid w:val="00A07E66"/>
    <w:rsid w:val="00A1063E"/>
    <w:rsid w:val="00A11232"/>
    <w:rsid w:val="00A11588"/>
    <w:rsid w:val="00A1185D"/>
    <w:rsid w:val="00A11DAF"/>
    <w:rsid w:val="00A1261F"/>
    <w:rsid w:val="00A126D4"/>
    <w:rsid w:val="00A12DDC"/>
    <w:rsid w:val="00A130B3"/>
    <w:rsid w:val="00A13E72"/>
    <w:rsid w:val="00A14029"/>
    <w:rsid w:val="00A14BE2"/>
    <w:rsid w:val="00A15E55"/>
    <w:rsid w:val="00A15EB9"/>
    <w:rsid w:val="00A163CC"/>
    <w:rsid w:val="00A2168C"/>
    <w:rsid w:val="00A21F51"/>
    <w:rsid w:val="00A22E0D"/>
    <w:rsid w:val="00A238CC"/>
    <w:rsid w:val="00A23B39"/>
    <w:rsid w:val="00A23CA2"/>
    <w:rsid w:val="00A24744"/>
    <w:rsid w:val="00A25C10"/>
    <w:rsid w:val="00A25E3D"/>
    <w:rsid w:val="00A25EEA"/>
    <w:rsid w:val="00A26615"/>
    <w:rsid w:val="00A279C0"/>
    <w:rsid w:val="00A279DC"/>
    <w:rsid w:val="00A308AB"/>
    <w:rsid w:val="00A30E1F"/>
    <w:rsid w:val="00A31416"/>
    <w:rsid w:val="00A31E19"/>
    <w:rsid w:val="00A328F9"/>
    <w:rsid w:val="00A32970"/>
    <w:rsid w:val="00A3301D"/>
    <w:rsid w:val="00A337B8"/>
    <w:rsid w:val="00A33916"/>
    <w:rsid w:val="00A33AB3"/>
    <w:rsid w:val="00A34CA2"/>
    <w:rsid w:val="00A35594"/>
    <w:rsid w:val="00A357C3"/>
    <w:rsid w:val="00A35B0B"/>
    <w:rsid w:val="00A36BED"/>
    <w:rsid w:val="00A37164"/>
    <w:rsid w:val="00A375F0"/>
    <w:rsid w:val="00A40F57"/>
    <w:rsid w:val="00A412D9"/>
    <w:rsid w:val="00A417F7"/>
    <w:rsid w:val="00A42F6A"/>
    <w:rsid w:val="00A436BC"/>
    <w:rsid w:val="00A4371C"/>
    <w:rsid w:val="00A4372E"/>
    <w:rsid w:val="00A44EE2"/>
    <w:rsid w:val="00A44FF7"/>
    <w:rsid w:val="00A450E9"/>
    <w:rsid w:val="00A45B5C"/>
    <w:rsid w:val="00A460C1"/>
    <w:rsid w:val="00A46A38"/>
    <w:rsid w:val="00A46FB4"/>
    <w:rsid w:val="00A4787C"/>
    <w:rsid w:val="00A47AE6"/>
    <w:rsid w:val="00A47B1B"/>
    <w:rsid w:val="00A47F2C"/>
    <w:rsid w:val="00A50323"/>
    <w:rsid w:val="00A506C9"/>
    <w:rsid w:val="00A5078B"/>
    <w:rsid w:val="00A5085D"/>
    <w:rsid w:val="00A509A0"/>
    <w:rsid w:val="00A50A07"/>
    <w:rsid w:val="00A50BF3"/>
    <w:rsid w:val="00A5152E"/>
    <w:rsid w:val="00A51949"/>
    <w:rsid w:val="00A520AD"/>
    <w:rsid w:val="00A522C4"/>
    <w:rsid w:val="00A52713"/>
    <w:rsid w:val="00A5298D"/>
    <w:rsid w:val="00A52E2B"/>
    <w:rsid w:val="00A53643"/>
    <w:rsid w:val="00A54B50"/>
    <w:rsid w:val="00A54D0A"/>
    <w:rsid w:val="00A54E1F"/>
    <w:rsid w:val="00A5514F"/>
    <w:rsid w:val="00A55573"/>
    <w:rsid w:val="00A55767"/>
    <w:rsid w:val="00A5577D"/>
    <w:rsid w:val="00A56C64"/>
    <w:rsid w:val="00A6090F"/>
    <w:rsid w:val="00A60AE0"/>
    <w:rsid w:val="00A60E73"/>
    <w:rsid w:val="00A629DE"/>
    <w:rsid w:val="00A62CB3"/>
    <w:rsid w:val="00A6313B"/>
    <w:rsid w:val="00A6328D"/>
    <w:rsid w:val="00A6339E"/>
    <w:rsid w:val="00A64851"/>
    <w:rsid w:val="00A64A8C"/>
    <w:rsid w:val="00A65CFE"/>
    <w:rsid w:val="00A661A3"/>
    <w:rsid w:val="00A665F5"/>
    <w:rsid w:val="00A665FA"/>
    <w:rsid w:val="00A66A70"/>
    <w:rsid w:val="00A6731E"/>
    <w:rsid w:val="00A6769E"/>
    <w:rsid w:val="00A67F4F"/>
    <w:rsid w:val="00A70430"/>
    <w:rsid w:val="00A7114E"/>
    <w:rsid w:val="00A73DDB"/>
    <w:rsid w:val="00A74489"/>
    <w:rsid w:val="00A74C5F"/>
    <w:rsid w:val="00A74DB2"/>
    <w:rsid w:val="00A752AE"/>
    <w:rsid w:val="00A752B8"/>
    <w:rsid w:val="00A757AA"/>
    <w:rsid w:val="00A758E0"/>
    <w:rsid w:val="00A7598F"/>
    <w:rsid w:val="00A75A8F"/>
    <w:rsid w:val="00A75DE5"/>
    <w:rsid w:val="00A765CB"/>
    <w:rsid w:val="00A76B77"/>
    <w:rsid w:val="00A77001"/>
    <w:rsid w:val="00A776BF"/>
    <w:rsid w:val="00A8056B"/>
    <w:rsid w:val="00A80B4D"/>
    <w:rsid w:val="00A8109B"/>
    <w:rsid w:val="00A82182"/>
    <w:rsid w:val="00A8279D"/>
    <w:rsid w:val="00A82955"/>
    <w:rsid w:val="00A82E8F"/>
    <w:rsid w:val="00A82EB7"/>
    <w:rsid w:val="00A834CC"/>
    <w:rsid w:val="00A8462C"/>
    <w:rsid w:val="00A847F6"/>
    <w:rsid w:val="00A84C2E"/>
    <w:rsid w:val="00A84ED0"/>
    <w:rsid w:val="00A85373"/>
    <w:rsid w:val="00A85432"/>
    <w:rsid w:val="00A85999"/>
    <w:rsid w:val="00A86187"/>
    <w:rsid w:val="00A8672B"/>
    <w:rsid w:val="00A86B0B"/>
    <w:rsid w:val="00A87118"/>
    <w:rsid w:val="00A87793"/>
    <w:rsid w:val="00A87E10"/>
    <w:rsid w:val="00A904E4"/>
    <w:rsid w:val="00A90F5D"/>
    <w:rsid w:val="00A91605"/>
    <w:rsid w:val="00A91B08"/>
    <w:rsid w:val="00A91B0B"/>
    <w:rsid w:val="00A91FE8"/>
    <w:rsid w:val="00A9245F"/>
    <w:rsid w:val="00A926A0"/>
    <w:rsid w:val="00A92A50"/>
    <w:rsid w:val="00A92EDE"/>
    <w:rsid w:val="00A92F71"/>
    <w:rsid w:val="00A92FE3"/>
    <w:rsid w:val="00A93490"/>
    <w:rsid w:val="00A940BC"/>
    <w:rsid w:val="00A9418F"/>
    <w:rsid w:val="00A94464"/>
    <w:rsid w:val="00A949B7"/>
    <w:rsid w:val="00A94DAC"/>
    <w:rsid w:val="00A953C7"/>
    <w:rsid w:val="00A95435"/>
    <w:rsid w:val="00A95A51"/>
    <w:rsid w:val="00A96631"/>
    <w:rsid w:val="00A96C89"/>
    <w:rsid w:val="00A97260"/>
    <w:rsid w:val="00A973E8"/>
    <w:rsid w:val="00AA077A"/>
    <w:rsid w:val="00AA0BFD"/>
    <w:rsid w:val="00AA1201"/>
    <w:rsid w:val="00AA1331"/>
    <w:rsid w:val="00AA1849"/>
    <w:rsid w:val="00AA24B3"/>
    <w:rsid w:val="00AA26CB"/>
    <w:rsid w:val="00AA2929"/>
    <w:rsid w:val="00AA2AD6"/>
    <w:rsid w:val="00AA30E4"/>
    <w:rsid w:val="00AA4EB4"/>
    <w:rsid w:val="00AA513C"/>
    <w:rsid w:val="00AA523C"/>
    <w:rsid w:val="00AA5A19"/>
    <w:rsid w:val="00AA5E2B"/>
    <w:rsid w:val="00AA64F4"/>
    <w:rsid w:val="00AA69E2"/>
    <w:rsid w:val="00AA6E7D"/>
    <w:rsid w:val="00AA6EFE"/>
    <w:rsid w:val="00AA75E9"/>
    <w:rsid w:val="00AA7BB2"/>
    <w:rsid w:val="00AB014E"/>
    <w:rsid w:val="00AB0181"/>
    <w:rsid w:val="00AB0A1D"/>
    <w:rsid w:val="00AB0C56"/>
    <w:rsid w:val="00AB0DB1"/>
    <w:rsid w:val="00AB16AE"/>
    <w:rsid w:val="00AB20FC"/>
    <w:rsid w:val="00AB28EF"/>
    <w:rsid w:val="00AB351A"/>
    <w:rsid w:val="00AB3F59"/>
    <w:rsid w:val="00AB5A34"/>
    <w:rsid w:val="00AB5C16"/>
    <w:rsid w:val="00AB6AD5"/>
    <w:rsid w:val="00AB6BFE"/>
    <w:rsid w:val="00AB6DA5"/>
    <w:rsid w:val="00AB6DCE"/>
    <w:rsid w:val="00AB6E50"/>
    <w:rsid w:val="00AB70E6"/>
    <w:rsid w:val="00AB76BD"/>
    <w:rsid w:val="00AB7E0A"/>
    <w:rsid w:val="00AB7F6D"/>
    <w:rsid w:val="00AC1AA5"/>
    <w:rsid w:val="00AC1F91"/>
    <w:rsid w:val="00AC205D"/>
    <w:rsid w:val="00AC2121"/>
    <w:rsid w:val="00AC25FE"/>
    <w:rsid w:val="00AC3F1F"/>
    <w:rsid w:val="00AC6270"/>
    <w:rsid w:val="00AC763B"/>
    <w:rsid w:val="00AC780F"/>
    <w:rsid w:val="00AC7901"/>
    <w:rsid w:val="00AC7AA4"/>
    <w:rsid w:val="00AC7FB8"/>
    <w:rsid w:val="00AC7FC9"/>
    <w:rsid w:val="00AC7FE9"/>
    <w:rsid w:val="00AD03B4"/>
    <w:rsid w:val="00AD05EC"/>
    <w:rsid w:val="00AD09CD"/>
    <w:rsid w:val="00AD0B54"/>
    <w:rsid w:val="00AD11DF"/>
    <w:rsid w:val="00AD1364"/>
    <w:rsid w:val="00AD156F"/>
    <w:rsid w:val="00AD16A3"/>
    <w:rsid w:val="00AD1889"/>
    <w:rsid w:val="00AD31BA"/>
    <w:rsid w:val="00AD36C2"/>
    <w:rsid w:val="00AD373F"/>
    <w:rsid w:val="00AD3C48"/>
    <w:rsid w:val="00AD4F91"/>
    <w:rsid w:val="00AD5DAA"/>
    <w:rsid w:val="00AD650A"/>
    <w:rsid w:val="00AD6F0E"/>
    <w:rsid w:val="00AD70F5"/>
    <w:rsid w:val="00AD7185"/>
    <w:rsid w:val="00AD7427"/>
    <w:rsid w:val="00AD76E4"/>
    <w:rsid w:val="00AE0263"/>
    <w:rsid w:val="00AE0906"/>
    <w:rsid w:val="00AE0F78"/>
    <w:rsid w:val="00AE13F1"/>
    <w:rsid w:val="00AE16B5"/>
    <w:rsid w:val="00AE1AB0"/>
    <w:rsid w:val="00AE28AB"/>
    <w:rsid w:val="00AE29CA"/>
    <w:rsid w:val="00AE2C9E"/>
    <w:rsid w:val="00AE2D9D"/>
    <w:rsid w:val="00AE31F2"/>
    <w:rsid w:val="00AE3FF6"/>
    <w:rsid w:val="00AE417D"/>
    <w:rsid w:val="00AE4363"/>
    <w:rsid w:val="00AE4FA5"/>
    <w:rsid w:val="00AE5703"/>
    <w:rsid w:val="00AE5D64"/>
    <w:rsid w:val="00AE627C"/>
    <w:rsid w:val="00AE6310"/>
    <w:rsid w:val="00AE65CA"/>
    <w:rsid w:val="00AE6B2E"/>
    <w:rsid w:val="00AE75DC"/>
    <w:rsid w:val="00AE77BE"/>
    <w:rsid w:val="00AE7A0D"/>
    <w:rsid w:val="00AE7EC2"/>
    <w:rsid w:val="00AE7F5C"/>
    <w:rsid w:val="00AF13D7"/>
    <w:rsid w:val="00AF15DA"/>
    <w:rsid w:val="00AF1EBC"/>
    <w:rsid w:val="00AF1F93"/>
    <w:rsid w:val="00AF27A6"/>
    <w:rsid w:val="00AF2F0A"/>
    <w:rsid w:val="00AF343E"/>
    <w:rsid w:val="00AF4142"/>
    <w:rsid w:val="00AF4343"/>
    <w:rsid w:val="00AF540E"/>
    <w:rsid w:val="00AF5CDB"/>
    <w:rsid w:val="00AF5EC3"/>
    <w:rsid w:val="00AF67AB"/>
    <w:rsid w:val="00AF7415"/>
    <w:rsid w:val="00B00077"/>
    <w:rsid w:val="00B00432"/>
    <w:rsid w:val="00B00BD7"/>
    <w:rsid w:val="00B01AEB"/>
    <w:rsid w:val="00B0282A"/>
    <w:rsid w:val="00B02B1C"/>
    <w:rsid w:val="00B035A7"/>
    <w:rsid w:val="00B03970"/>
    <w:rsid w:val="00B0411C"/>
    <w:rsid w:val="00B04240"/>
    <w:rsid w:val="00B04CEC"/>
    <w:rsid w:val="00B053BD"/>
    <w:rsid w:val="00B057FB"/>
    <w:rsid w:val="00B06ADB"/>
    <w:rsid w:val="00B06B3F"/>
    <w:rsid w:val="00B06C2E"/>
    <w:rsid w:val="00B06F17"/>
    <w:rsid w:val="00B07233"/>
    <w:rsid w:val="00B116CE"/>
    <w:rsid w:val="00B12243"/>
    <w:rsid w:val="00B129A3"/>
    <w:rsid w:val="00B12C5B"/>
    <w:rsid w:val="00B12C9D"/>
    <w:rsid w:val="00B12F5C"/>
    <w:rsid w:val="00B139E7"/>
    <w:rsid w:val="00B13D21"/>
    <w:rsid w:val="00B14258"/>
    <w:rsid w:val="00B14590"/>
    <w:rsid w:val="00B15108"/>
    <w:rsid w:val="00B15409"/>
    <w:rsid w:val="00B154B3"/>
    <w:rsid w:val="00B15ED6"/>
    <w:rsid w:val="00B16C4D"/>
    <w:rsid w:val="00B17AD1"/>
    <w:rsid w:val="00B20D5A"/>
    <w:rsid w:val="00B21C98"/>
    <w:rsid w:val="00B2202F"/>
    <w:rsid w:val="00B228E9"/>
    <w:rsid w:val="00B23A48"/>
    <w:rsid w:val="00B23FA8"/>
    <w:rsid w:val="00B24A9B"/>
    <w:rsid w:val="00B2554D"/>
    <w:rsid w:val="00B256C3"/>
    <w:rsid w:val="00B257AE"/>
    <w:rsid w:val="00B257C1"/>
    <w:rsid w:val="00B259B5"/>
    <w:rsid w:val="00B25A8E"/>
    <w:rsid w:val="00B25D73"/>
    <w:rsid w:val="00B27D23"/>
    <w:rsid w:val="00B301C9"/>
    <w:rsid w:val="00B303C9"/>
    <w:rsid w:val="00B30EE2"/>
    <w:rsid w:val="00B31450"/>
    <w:rsid w:val="00B3186C"/>
    <w:rsid w:val="00B322B1"/>
    <w:rsid w:val="00B32513"/>
    <w:rsid w:val="00B32960"/>
    <w:rsid w:val="00B32C64"/>
    <w:rsid w:val="00B33A30"/>
    <w:rsid w:val="00B33C6B"/>
    <w:rsid w:val="00B33DDD"/>
    <w:rsid w:val="00B33F9D"/>
    <w:rsid w:val="00B347E0"/>
    <w:rsid w:val="00B353B8"/>
    <w:rsid w:val="00B35CCD"/>
    <w:rsid w:val="00B3612C"/>
    <w:rsid w:val="00B366D4"/>
    <w:rsid w:val="00B37292"/>
    <w:rsid w:val="00B373B1"/>
    <w:rsid w:val="00B378AA"/>
    <w:rsid w:val="00B379FF"/>
    <w:rsid w:val="00B37D65"/>
    <w:rsid w:val="00B37FD9"/>
    <w:rsid w:val="00B403FC"/>
    <w:rsid w:val="00B40531"/>
    <w:rsid w:val="00B40D66"/>
    <w:rsid w:val="00B41384"/>
    <w:rsid w:val="00B417D3"/>
    <w:rsid w:val="00B417E1"/>
    <w:rsid w:val="00B41CB1"/>
    <w:rsid w:val="00B4245A"/>
    <w:rsid w:val="00B42A97"/>
    <w:rsid w:val="00B433DA"/>
    <w:rsid w:val="00B435C6"/>
    <w:rsid w:val="00B4372E"/>
    <w:rsid w:val="00B438CC"/>
    <w:rsid w:val="00B44467"/>
    <w:rsid w:val="00B44CAE"/>
    <w:rsid w:val="00B456E8"/>
    <w:rsid w:val="00B46DB5"/>
    <w:rsid w:val="00B47DCE"/>
    <w:rsid w:val="00B50153"/>
    <w:rsid w:val="00B50F45"/>
    <w:rsid w:val="00B51681"/>
    <w:rsid w:val="00B523F4"/>
    <w:rsid w:val="00B5253E"/>
    <w:rsid w:val="00B532B6"/>
    <w:rsid w:val="00B535EF"/>
    <w:rsid w:val="00B53A9E"/>
    <w:rsid w:val="00B53F45"/>
    <w:rsid w:val="00B5418F"/>
    <w:rsid w:val="00B54B9B"/>
    <w:rsid w:val="00B54BD8"/>
    <w:rsid w:val="00B55427"/>
    <w:rsid w:val="00B55CEA"/>
    <w:rsid w:val="00B55D9B"/>
    <w:rsid w:val="00B56EEC"/>
    <w:rsid w:val="00B570DF"/>
    <w:rsid w:val="00B5721A"/>
    <w:rsid w:val="00B574C5"/>
    <w:rsid w:val="00B5754F"/>
    <w:rsid w:val="00B5793D"/>
    <w:rsid w:val="00B57D08"/>
    <w:rsid w:val="00B57DFA"/>
    <w:rsid w:val="00B57E0C"/>
    <w:rsid w:val="00B617B8"/>
    <w:rsid w:val="00B61B7F"/>
    <w:rsid w:val="00B62AF4"/>
    <w:rsid w:val="00B62E4D"/>
    <w:rsid w:val="00B633CF"/>
    <w:rsid w:val="00B64009"/>
    <w:rsid w:val="00B6439D"/>
    <w:rsid w:val="00B648BF"/>
    <w:rsid w:val="00B64A46"/>
    <w:rsid w:val="00B6510A"/>
    <w:rsid w:val="00B652AF"/>
    <w:rsid w:val="00B652CD"/>
    <w:rsid w:val="00B65F43"/>
    <w:rsid w:val="00B66262"/>
    <w:rsid w:val="00B66BAF"/>
    <w:rsid w:val="00B67090"/>
    <w:rsid w:val="00B67809"/>
    <w:rsid w:val="00B67C3B"/>
    <w:rsid w:val="00B701AD"/>
    <w:rsid w:val="00B7056F"/>
    <w:rsid w:val="00B70A57"/>
    <w:rsid w:val="00B70D8C"/>
    <w:rsid w:val="00B71354"/>
    <w:rsid w:val="00B7466E"/>
    <w:rsid w:val="00B75492"/>
    <w:rsid w:val="00B759FB"/>
    <w:rsid w:val="00B760FA"/>
    <w:rsid w:val="00B76B3E"/>
    <w:rsid w:val="00B77327"/>
    <w:rsid w:val="00B778CF"/>
    <w:rsid w:val="00B77C39"/>
    <w:rsid w:val="00B80395"/>
    <w:rsid w:val="00B80668"/>
    <w:rsid w:val="00B81242"/>
    <w:rsid w:val="00B81577"/>
    <w:rsid w:val="00B81A9E"/>
    <w:rsid w:val="00B81B11"/>
    <w:rsid w:val="00B81D0A"/>
    <w:rsid w:val="00B82483"/>
    <w:rsid w:val="00B833EC"/>
    <w:rsid w:val="00B83403"/>
    <w:rsid w:val="00B853D2"/>
    <w:rsid w:val="00B85BBC"/>
    <w:rsid w:val="00B860BD"/>
    <w:rsid w:val="00B8759A"/>
    <w:rsid w:val="00B875B6"/>
    <w:rsid w:val="00B87FC6"/>
    <w:rsid w:val="00B905B7"/>
    <w:rsid w:val="00B90831"/>
    <w:rsid w:val="00B910B5"/>
    <w:rsid w:val="00B9135B"/>
    <w:rsid w:val="00B913A5"/>
    <w:rsid w:val="00B91AFE"/>
    <w:rsid w:val="00B92239"/>
    <w:rsid w:val="00B922C2"/>
    <w:rsid w:val="00B922FB"/>
    <w:rsid w:val="00B93317"/>
    <w:rsid w:val="00B941EA"/>
    <w:rsid w:val="00B9481A"/>
    <w:rsid w:val="00B94918"/>
    <w:rsid w:val="00B9555B"/>
    <w:rsid w:val="00B97379"/>
    <w:rsid w:val="00B978C7"/>
    <w:rsid w:val="00B97BF8"/>
    <w:rsid w:val="00B97F53"/>
    <w:rsid w:val="00B97F98"/>
    <w:rsid w:val="00BA0358"/>
    <w:rsid w:val="00BA0A69"/>
    <w:rsid w:val="00BA0F26"/>
    <w:rsid w:val="00BA0FE3"/>
    <w:rsid w:val="00BA1442"/>
    <w:rsid w:val="00BA1C22"/>
    <w:rsid w:val="00BA291D"/>
    <w:rsid w:val="00BA29F5"/>
    <w:rsid w:val="00BA2BA2"/>
    <w:rsid w:val="00BA2F64"/>
    <w:rsid w:val="00BA3549"/>
    <w:rsid w:val="00BA3661"/>
    <w:rsid w:val="00BA3A27"/>
    <w:rsid w:val="00BA3CFE"/>
    <w:rsid w:val="00BA3E09"/>
    <w:rsid w:val="00BA493F"/>
    <w:rsid w:val="00BA52F3"/>
    <w:rsid w:val="00BA56C9"/>
    <w:rsid w:val="00BA63CF"/>
    <w:rsid w:val="00BA6BC3"/>
    <w:rsid w:val="00BA6D2D"/>
    <w:rsid w:val="00BA6FB8"/>
    <w:rsid w:val="00BA7278"/>
    <w:rsid w:val="00BB11B6"/>
    <w:rsid w:val="00BB1684"/>
    <w:rsid w:val="00BB1B04"/>
    <w:rsid w:val="00BB2CF7"/>
    <w:rsid w:val="00BB31AD"/>
    <w:rsid w:val="00BB373F"/>
    <w:rsid w:val="00BB3B0E"/>
    <w:rsid w:val="00BB4002"/>
    <w:rsid w:val="00BB5476"/>
    <w:rsid w:val="00BB5B33"/>
    <w:rsid w:val="00BB674A"/>
    <w:rsid w:val="00BC029E"/>
    <w:rsid w:val="00BC1C7B"/>
    <w:rsid w:val="00BC24CD"/>
    <w:rsid w:val="00BC26B1"/>
    <w:rsid w:val="00BC45A3"/>
    <w:rsid w:val="00BC4653"/>
    <w:rsid w:val="00BC4B22"/>
    <w:rsid w:val="00BC56C0"/>
    <w:rsid w:val="00BC5C43"/>
    <w:rsid w:val="00BC6876"/>
    <w:rsid w:val="00BC6CEA"/>
    <w:rsid w:val="00BC7EB0"/>
    <w:rsid w:val="00BD04D9"/>
    <w:rsid w:val="00BD06E6"/>
    <w:rsid w:val="00BD12FE"/>
    <w:rsid w:val="00BD1887"/>
    <w:rsid w:val="00BD1F8F"/>
    <w:rsid w:val="00BD2C6B"/>
    <w:rsid w:val="00BD2DC6"/>
    <w:rsid w:val="00BD31BF"/>
    <w:rsid w:val="00BD38B5"/>
    <w:rsid w:val="00BD3B45"/>
    <w:rsid w:val="00BD4181"/>
    <w:rsid w:val="00BD4C34"/>
    <w:rsid w:val="00BD5A99"/>
    <w:rsid w:val="00BD5AB5"/>
    <w:rsid w:val="00BD5E0B"/>
    <w:rsid w:val="00BD5FD1"/>
    <w:rsid w:val="00BD61CF"/>
    <w:rsid w:val="00BD7380"/>
    <w:rsid w:val="00BD74E2"/>
    <w:rsid w:val="00BD7BC3"/>
    <w:rsid w:val="00BE0044"/>
    <w:rsid w:val="00BE049E"/>
    <w:rsid w:val="00BE1E45"/>
    <w:rsid w:val="00BE334C"/>
    <w:rsid w:val="00BE33E6"/>
    <w:rsid w:val="00BE3D6B"/>
    <w:rsid w:val="00BE420B"/>
    <w:rsid w:val="00BE5067"/>
    <w:rsid w:val="00BE52E6"/>
    <w:rsid w:val="00BF0569"/>
    <w:rsid w:val="00BF0D6D"/>
    <w:rsid w:val="00BF1004"/>
    <w:rsid w:val="00BF12EC"/>
    <w:rsid w:val="00BF133C"/>
    <w:rsid w:val="00BF214C"/>
    <w:rsid w:val="00BF2890"/>
    <w:rsid w:val="00BF31AC"/>
    <w:rsid w:val="00BF3315"/>
    <w:rsid w:val="00BF3422"/>
    <w:rsid w:val="00BF3A25"/>
    <w:rsid w:val="00BF4617"/>
    <w:rsid w:val="00BF4890"/>
    <w:rsid w:val="00BF4EE3"/>
    <w:rsid w:val="00BF51AB"/>
    <w:rsid w:val="00BF52DB"/>
    <w:rsid w:val="00BF57BE"/>
    <w:rsid w:val="00BF7810"/>
    <w:rsid w:val="00C00685"/>
    <w:rsid w:val="00C008FB"/>
    <w:rsid w:val="00C0096E"/>
    <w:rsid w:val="00C00FA0"/>
    <w:rsid w:val="00C0115E"/>
    <w:rsid w:val="00C021D0"/>
    <w:rsid w:val="00C029EA"/>
    <w:rsid w:val="00C02B7F"/>
    <w:rsid w:val="00C02E19"/>
    <w:rsid w:val="00C02E98"/>
    <w:rsid w:val="00C02F43"/>
    <w:rsid w:val="00C03247"/>
    <w:rsid w:val="00C03C56"/>
    <w:rsid w:val="00C06A3A"/>
    <w:rsid w:val="00C06B74"/>
    <w:rsid w:val="00C06E46"/>
    <w:rsid w:val="00C0704B"/>
    <w:rsid w:val="00C07420"/>
    <w:rsid w:val="00C07750"/>
    <w:rsid w:val="00C10FE0"/>
    <w:rsid w:val="00C1144C"/>
    <w:rsid w:val="00C12063"/>
    <w:rsid w:val="00C129C2"/>
    <w:rsid w:val="00C1309C"/>
    <w:rsid w:val="00C13409"/>
    <w:rsid w:val="00C13AA6"/>
    <w:rsid w:val="00C15757"/>
    <w:rsid w:val="00C16A80"/>
    <w:rsid w:val="00C16E0F"/>
    <w:rsid w:val="00C17359"/>
    <w:rsid w:val="00C21862"/>
    <w:rsid w:val="00C21DDE"/>
    <w:rsid w:val="00C22A9F"/>
    <w:rsid w:val="00C234BF"/>
    <w:rsid w:val="00C23F6A"/>
    <w:rsid w:val="00C240F9"/>
    <w:rsid w:val="00C259BE"/>
    <w:rsid w:val="00C25B94"/>
    <w:rsid w:val="00C2610B"/>
    <w:rsid w:val="00C26FFA"/>
    <w:rsid w:val="00C27E2F"/>
    <w:rsid w:val="00C30115"/>
    <w:rsid w:val="00C30A38"/>
    <w:rsid w:val="00C3231A"/>
    <w:rsid w:val="00C32DA9"/>
    <w:rsid w:val="00C339B0"/>
    <w:rsid w:val="00C33FA5"/>
    <w:rsid w:val="00C35BEE"/>
    <w:rsid w:val="00C35C06"/>
    <w:rsid w:val="00C36179"/>
    <w:rsid w:val="00C3657D"/>
    <w:rsid w:val="00C3696C"/>
    <w:rsid w:val="00C40A72"/>
    <w:rsid w:val="00C40D4E"/>
    <w:rsid w:val="00C41B0F"/>
    <w:rsid w:val="00C41B12"/>
    <w:rsid w:val="00C41BB5"/>
    <w:rsid w:val="00C4230C"/>
    <w:rsid w:val="00C44059"/>
    <w:rsid w:val="00C44768"/>
    <w:rsid w:val="00C456E7"/>
    <w:rsid w:val="00C4594C"/>
    <w:rsid w:val="00C50B64"/>
    <w:rsid w:val="00C513D0"/>
    <w:rsid w:val="00C5159A"/>
    <w:rsid w:val="00C517C0"/>
    <w:rsid w:val="00C52329"/>
    <w:rsid w:val="00C52B49"/>
    <w:rsid w:val="00C54CA8"/>
    <w:rsid w:val="00C55626"/>
    <w:rsid w:val="00C556CC"/>
    <w:rsid w:val="00C564BC"/>
    <w:rsid w:val="00C567D4"/>
    <w:rsid w:val="00C575D2"/>
    <w:rsid w:val="00C57F2B"/>
    <w:rsid w:val="00C60EB3"/>
    <w:rsid w:val="00C60F63"/>
    <w:rsid w:val="00C6167D"/>
    <w:rsid w:val="00C61A28"/>
    <w:rsid w:val="00C62709"/>
    <w:rsid w:val="00C62C57"/>
    <w:rsid w:val="00C639C8"/>
    <w:rsid w:val="00C63DB2"/>
    <w:rsid w:val="00C64C5F"/>
    <w:rsid w:val="00C64EB6"/>
    <w:rsid w:val="00C65827"/>
    <w:rsid w:val="00C65F57"/>
    <w:rsid w:val="00C664F4"/>
    <w:rsid w:val="00C665DB"/>
    <w:rsid w:val="00C6665E"/>
    <w:rsid w:val="00C66BE7"/>
    <w:rsid w:val="00C67098"/>
    <w:rsid w:val="00C674F6"/>
    <w:rsid w:val="00C703AC"/>
    <w:rsid w:val="00C706DD"/>
    <w:rsid w:val="00C708D6"/>
    <w:rsid w:val="00C70C84"/>
    <w:rsid w:val="00C70E34"/>
    <w:rsid w:val="00C715DB"/>
    <w:rsid w:val="00C71AD4"/>
    <w:rsid w:val="00C71B29"/>
    <w:rsid w:val="00C71CCA"/>
    <w:rsid w:val="00C71D9E"/>
    <w:rsid w:val="00C71DBB"/>
    <w:rsid w:val="00C72150"/>
    <w:rsid w:val="00C7253A"/>
    <w:rsid w:val="00C7264F"/>
    <w:rsid w:val="00C72D70"/>
    <w:rsid w:val="00C72E27"/>
    <w:rsid w:val="00C7353A"/>
    <w:rsid w:val="00C736A0"/>
    <w:rsid w:val="00C737C0"/>
    <w:rsid w:val="00C73CB9"/>
    <w:rsid w:val="00C75378"/>
    <w:rsid w:val="00C753E4"/>
    <w:rsid w:val="00C76152"/>
    <w:rsid w:val="00C76400"/>
    <w:rsid w:val="00C7648A"/>
    <w:rsid w:val="00C7794E"/>
    <w:rsid w:val="00C8199B"/>
    <w:rsid w:val="00C82B0C"/>
    <w:rsid w:val="00C82BCE"/>
    <w:rsid w:val="00C82D1B"/>
    <w:rsid w:val="00C83408"/>
    <w:rsid w:val="00C836E2"/>
    <w:rsid w:val="00C8496E"/>
    <w:rsid w:val="00C84D88"/>
    <w:rsid w:val="00C84F1C"/>
    <w:rsid w:val="00C851D4"/>
    <w:rsid w:val="00C85870"/>
    <w:rsid w:val="00C85B3B"/>
    <w:rsid w:val="00C860B3"/>
    <w:rsid w:val="00C8613F"/>
    <w:rsid w:val="00C86A52"/>
    <w:rsid w:val="00C86D81"/>
    <w:rsid w:val="00C870DA"/>
    <w:rsid w:val="00C87C25"/>
    <w:rsid w:val="00C87D54"/>
    <w:rsid w:val="00C904A1"/>
    <w:rsid w:val="00C90670"/>
    <w:rsid w:val="00C91D26"/>
    <w:rsid w:val="00C92A6C"/>
    <w:rsid w:val="00C93436"/>
    <w:rsid w:val="00C93A37"/>
    <w:rsid w:val="00C9485C"/>
    <w:rsid w:val="00C94D61"/>
    <w:rsid w:val="00C95373"/>
    <w:rsid w:val="00C956B3"/>
    <w:rsid w:val="00C95758"/>
    <w:rsid w:val="00C95800"/>
    <w:rsid w:val="00C95E0B"/>
    <w:rsid w:val="00C975C9"/>
    <w:rsid w:val="00CA0C2A"/>
    <w:rsid w:val="00CA1692"/>
    <w:rsid w:val="00CA1DDC"/>
    <w:rsid w:val="00CA20A4"/>
    <w:rsid w:val="00CA2287"/>
    <w:rsid w:val="00CA2576"/>
    <w:rsid w:val="00CA27DF"/>
    <w:rsid w:val="00CA29F9"/>
    <w:rsid w:val="00CA2E93"/>
    <w:rsid w:val="00CA2EE0"/>
    <w:rsid w:val="00CA387F"/>
    <w:rsid w:val="00CA414D"/>
    <w:rsid w:val="00CA4541"/>
    <w:rsid w:val="00CA5929"/>
    <w:rsid w:val="00CA672D"/>
    <w:rsid w:val="00CA679A"/>
    <w:rsid w:val="00CA68EC"/>
    <w:rsid w:val="00CA68F9"/>
    <w:rsid w:val="00CA6A6C"/>
    <w:rsid w:val="00CA6B6F"/>
    <w:rsid w:val="00CA6D61"/>
    <w:rsid w:val="00CA7CE3"/>
    <w:rsid w:val="00CB203B"/>
    <w:rsid w:val="00CB2A59"/>
    <w:rsid w:val="00CB3025"/>
    <w:rsid w:val="00CB4271"/>
    <w:rsid w:val="00CB4A51"/>
    <w:rsid w:val="00CB5AF7"/>
    <w:rsid w:val="00CB5FEA"/>
    <w:rsid w:val="00CB6242"/>
    <w:rsid w:val="00CB69CA"/>
    <w:rsid w:val="00CC04D8"/>
    <w:rsid w:val="00CC0DBF"/>
    <w:rsid w:val="00CC169E"/>
    <w:rsid w:val="00CC1909"/>
    <w:rsid w:val="00CC21E1"/>
    <w:rsid w:val="00CC240C"/>
    <w:rsid w:val="00CC2A26"/>
    <w:rsid w:val="00CC2F99"/>
    <w:rsid w:val="00CC3562"/>
    <w:rsid w:val="00CC357B"/>
    <w:rsid w:val="00CC4196"/>
    <w:rsid w:val="00CC4A1D"/>
    <w:rsid w:val="00CC4AB9"/>
    <w:rsid w:val="00CC4B8A"/>
    <w:rsid w:val="00CC509E"/>
    <w:rsid w:val="00CC531E"/>
    <w:rsid w:val="00CC5426"/>
    <w:rsid w:val="00CC5A5A"/>
    <w:rsid w:val="00CC5C0F"/>
    <w:rsid w:val="00CC5ED0"/>
    <w:rsid w:val="00CC65A5"/>
    <w:rsid w:val="00CC7EA8"/>
    <w:rsid w:val="00CD06DC"/>
    <w:rsid w:val="00CD0B14"/>
    <w:rsid w:val="00CD1F08"/>
    <w:rsid w:val="00CD22A0"/>
    <w:rsid w:val="00CD365E"/>
    <w:rsid w:val="00CD38F2"/>
    <w:rsid w:val="00CD3EBD"/>
    <w:rsid w:val="00CD4022"/>
    <w:rsid w:val="00CD460B"/>
    <w:rsid w:val="00CD476E"/>
    <w:rsid w:val="00CD4793"/>
    <w:rsid w:val="00CD5687"/>
    <w:rsid w:val="00CD56C1"/>
    <w:rsid w:val="00CD6647"/>
    <w:rsid w:val="00CD6AA9"/>
    <w:rsid w:val="00CD6BF7"/>
    <w:rsid w:val="00CD7D18"/>
    <w:rsid w:val="00CD7FCF"/>
    <w:rsid w:val="00CE0401"/>
    <w:rsid w:val="00CE1B91"/>
    <w:rsid w:val="00CE2A6B"/>
    <w:rsid w:val="00CE39C2"/>
    <w:rsid w:val="00CE3FFD"/>
    <w:rsid w:val="00CE5BA2"/>
    <w:rsid w:val="00CE61CB"/>
    <w:rsid w:val="00CE662B"/>
    <w:rsid w:val="00CE6812"/>
    <w:rsid w:val="00CE6D1D"/>
    <w:rsid w:val="00CE76D5"/>
    <w:rsid w:val="00CE7C4B"/>
    <w:rsid w:val="00CF1263"/>
    <w:rsid w:val="00CF17F4"/>
    <w:rsid w:val="00CF27E4"/>
    <w:rsid w:val="00CF2C70"/>
    <w:rsid w:val="00CF35AF"/>
    <w:rsid w:val="00CF4F26"/>
    <w:rsid w:val="00CF50C4"/>
    <w:rsid w:val="00CF6177"/>
    <w:rsid w:val="00CF61EF"/>
    <w:rsid w:val="00CF6275"/>
    <w:rsid w:val="00CF68A8"/>
    <w:rsid w:val="00CF6F41"/>
    <w:rsid w:val="00CF7CD4"/>
    <w:rsid w:val="00D00D34"/>
    <w:rsid w:val="00D00D81"/>
    <w:rsid w:val="00D010A2"/>
    <w:rsid w:val="00D017DC"/>
    <w:rsid w:val="00D01E7D"/>
    <w:rsid w:val="00D02157"/>
    <w:rsid w:val="00D02F55"/>
    <w:rsid w:val="00D03D4C"/>
    <w:rsid w:val="00D03DBA"/>
    <w:rsid w:val="00D03DD6"/>
    <w:rsid w:val="00D055E7"/>
    <w:rsid w:val="00D05693"/>
    <w:rsid w:val="00D061AB"/>
    <w:rsid w:val="00D06A79"/>
    <w:rsid w:val="00D102D9"/>
    <w:rsid w:val="00D1086C"/>
    <w:rsid w:val="00D10B1F"/>
    <w:rsid w:val="00D10D14"/>
    <w:rsid w:val="00D11ECA"/>
    <w:rsid w:val="00D11F34"/>
    <w:rsid w:val="00D1244E"/>
    <w:rsid w:val="00D125F7"/>
    <w:rsid w:val="00D12C78"/>
    <w:rsid w:val="00D13425"/>
    <w:rsid w:val="00D136B9"/>
    <w:rsid w:val="00D1407E"/>
    <w:rsid w:val="00D17DD3"/>
    <w:rsid w:val="00D20285"/>
    <w:rsid w:val="00D207C7"/>
    <w:rsid w:val="00D207DF"/>
    <w:rsid w:val="00D20C3C"/>
    <w:rsid w:val="00D20D8A"/>
    <w:rsid w:val="00D21358"/>
    <w:rsid w:val="00D22672"/>
    <w:rsid w:val="00D22825"/>
    <w:rsid w:val="00D229B8"/>
    <w:rsid w:val="00D22B63"/>
    <w:rsid w:val="00D22B77"/>
    <w:rsid w:val="00D246A3"/>
    <w:rsid w:val="00D248DC"/>
    <w:rsid w:val="00D25190"/>
    <w:rsid w:val="00D25379"/>
    <w:rsid w:val="00D25900"/>
    <w:rsid w:val="00D25A13"/>
    <w:rsid w:val="00D25D52"/>
    <w:rsid w:val="00D25E2D"/>
    <w:rsid w:val="00D26E62"/>
    <w:rsid w:val="00D3010C"/>
    <w:rsid w:val="00D30930"/>
    <w:rsid w:val="00D3140A"/>
    <w:rsid w:val="00D316F7"/>
    <w:rsid w:val="00D3288B"/>
    <w:rsid w:val="00D3290F"/>
    <w:rsid w:val="00D34699"/>
    <w:rsid w:val="00D3494B"/>
    <w:rsid w:val="00D34F80"/>
    <w:rsid w:val="00D355C3"/>
    <w:rsid w:val="00D35887"/>
    <w:rsid w:val="00D3699B"/>
    <w:rsid w:val="00D36D5D"/>
    <w:rsid w:val="00D36DE3"/>
    <w:rsid w:val="00D36EF2"/>
    <w:rsid w:val="00D40907"/>
    <w:rsid w:val="00D409F2"/>
    <w:rsid w:val="00D42961"/>
    <w:rsid w:val="00D42B83"/>
    <w:rsid w:val="00D42EC2"/>
    <w:rsid w:val="00D4381E"/>
    <w:rsid w:val="00D43AD6"/>
    <w:rsid w:val="00D43C98"/>
    <w:rsid w:val="00D440BE"/>
    <w:rsid w:val="00D44419"/>
    <w:rsid w:val="00D45A57"/>
    <w:rsid w:val="00D45BE2"/>
    <w:rsid w:val="00D46905"/>
    <w:rsid w:val="00D47016"/>
    <w:rsid w:val="00D50B44"/>
    <w:rsid w:val="00D518D1"/>
    <w:rsid w:val="00D52915"/>
    <w:rsid w:val="00D531D5"/>
    <w:rsid w:val="00D53755"/>
    <w:rsid w:val="00D5432F"/>
    <w:rsid w:val="00D55878"/>
    <w:rsid w:val="00D55BB8"/>
    <w:rsid w:val="00D5684A"/>
    <w:rsid w:val="00D5702C"/>
    <w:rsid w:val="00D57E34"/>
    <w:rsid w:val="00D61885"/>
    <w:rsid w:val="00D61933"/>
    <w:rsid w:val="00D626DD"/>
    <w:rsid w:val="00D62DFE"/>
    <w:rsid w:val="00D62EE9"/>
    <w:rsid w:val="00D63553"/>
    <w:rsid w:val="00D63CD4"/>
    <w:rsid w:val="00D63E32"/>
    <w:rsid w:val="00D63EA5"/>
    <w:rsid w:val="00D64474"/>
    <w:rsid w:val="00D64616"/>
    <w:rsid w:val="00D64B3D"/>
    <w:rsid w:val="00D64D65"/>
    <w:rsid w:val="00D6575A"/>
    <w:rsid w:val="00D65F24"/>
    <w:rsid w:val="00D6694D"/>
    <w:rsid w:val="00D66CDB"/>
    <w:rsid w:val="00D701FE"/>
    <w:rsid w:val="00D71031"/>
    <w:rsid w:val="00D711A4"/>
    <w:rsid w:val="00D71344"/>
    <w:rsid w:val="00D71399"/>
    <w:rsid w:val="00D72181"/>
    <w:rsid w:val="00D721C5"/>
    <w:rsid w:val="00D72893"/>
    <w:rsid w:val="00D7326A"/>
    <w:rsid w:val="00D73A11"/>
    <w:rsid w:val="00D73E6F"/>
    <w:rsid w:val="00D75901"/>
    <w:rsid w:val="00D75B66"/>
    <w:rsid w:val="00D76596"/>
    <w:rsid w:val="00D770AC"/>
    <w:rsid w:val="00D77289"/>
    <w:rsid w:val="00D772D4"/>
    <w:rsid w:val="00D807F7"/>
    <w:rsid w:val="00D81628"/>
    <w:rsid w:val="00D81A9E"/>
    <w:rsid w:val="00D81CE0"/>
    <w:rsid w:val="00D825E9"/>
    <w:rsid w:val="00D829D4"/>
    <w:rsid w:val="00D835EE"/>
    <w:rsid w:val="00D8429A"/>
    <w:rsid w:val="00D84343"/>
    <w:rsid w:val="00D8458D"/>
    <w:rsid w:val="00D85B1B"/>
    <w:rsid w:val="00D868EB"/>
    <w:rsid w:val="00D86D9C"/>
    <w:rsid w:val="00D872B6"/>
    <w:rsid w:val="00D87A60"/>
    <w:rsid w:val="00D90465"/>
    <w:rsid w:val="00D90E3F"/>
    <w:rsid w:val="00D90E50"/>
    <w:rsid w:val="00D90FAE"/>
    <w:rsid w:val="00D91885"/>
    <w:rsid w:val="00D918C1"/>
    <w:rsid w:val="00D91D49"/>
    <w:rsid w:val="00D92A37"/>
    <w:rsid w:val="00D943F8"/>
    <w:rsid w:val="00D94661"/>
    <w:rsid w:val="00D94F98"/>
    <w:rsid w:val="00D950A9"/>
    <w:rsid w:val="00D955AD"/>
    <w:rsid w:val="00D957FA"/>
    <w:rsid w:val="00D965A1"/>
    <w:rsid w:val="00D96827"/>
    <w:rsid w:val="00D96D92"/>
    <w:rsid w:val="00D97213"/>
    <w:rsid w:val="00D97C0B"/>
    <w:rsid w:val="00DA0BD4"/>
    <w:rsid w:val="00DA0CC7"/>
    <w:rsid w:val="00DA1A91"/>
    <w:rsid w:val="00DA1DAB"/>
    <w:rsid w:val="00DA1E24"/>
    <w:rsid w:val="00DA1FAA"/>
    <w:rsid w:val="00DA2FEE"/>
    <w:rsid w:val="00DA4555"/>
    <w:rsid w:val="00DA57F0"/>
    <w:rsid w:val="00DA6B63"/>
    <w:rsid w:val="00DA731D"/>
    <w:rsid w:val="00DB036D"/>
    <w:rsid w:val="00DB08C4"/>
    <w:rsid w:val="00DB1557"/>
    <w:rsid w:val="00DB1EEA"/>
    <w:rsid w:val="00DB385F"/>
    <w:rsid w:val="00DB3F57"/>
    <w:rsid w:val="00DB40B7"/>
    <w:rsid w:val="00DB5088"/>
    <w:rsid w:val="00DB5256"/>
    <w:rsid w:val="00DB5514"/>
    <w:rsid w:val="00DB5F02"/>
    <w:rsid w:val="00DB6433"/>
    <w:rsid w:val="00DB69B4"/>
    <w:rsid w:val="00DB6B2E"/>
    <w:rsid w:val="00DB6C20"/>
    <w:rsid w:val="00DC03AD"/>
    <w:rsid w:val="00DC31FB"/>
    <w:rsid w:val="00DC3202"/>
    <w:rsid w:val="00DC37C5"/>
    <w:rsid w:val="00DC4E5E"/>
    <w:rsid w:val="00DC5133"/>
    <w:rsid w:val="00DC57AA"/>
    <w:rsid w:val="00DC5CB6"/>
    <w:rsid w:val="00DC5D25"/>
    <w:rsid w:val="00DC6F72"/>
    <w:rsid w:val="00DC70A6"/>
    <w:rsid w:val="00DC7190"/>
    <w:rsid w:val="00DC72F5"/>
    <w:rsid w:val="00DC74EE"/>
    <w:rsid w:val="00DC756A"/>
    <w:rsid w:val="00DC758B"/>
    <w:rsid w:val="00DC7E3E"/>
    <w:rsid w:val="00DC7F2D"/>
    <w:rsid w:val="00DD0096"/>
    <w:rsid w:val="00DD0336"/>
    <w:rsid w:val="00DD06F2"/>
    <w:rsid w:val="00DD1147"/>
    <w:rsid w:val="00DD1163"/>
    <w:rsid w:val="00DD16D6"/>
    <w:rsid w:val="00DD1A6A"/>
    <w:rsid w:val="00DD1D27"/>
    <w:rsid w:val="00DD2462"/>
    <w:rsid w:val="00DD2C8E"/>
    <w:rsid w:val="00DD3263"/>
    <w:rsid w:val="00DD3FBA"/>
    <w:rsid w:val="00DD43C7"/>
    <w:rsid w:val="00DD4651"/>
    <w:rsid w:val="00DD46B3"/>
    <w:rsid w:val="00DD4AB2"/>
    <w:rsid w:val="00DD4AE4"/>
    <w:rsid w:val="00DD5821"/>
    <w:rsid w:val="00DD5869"/>
    <w:rsid w:val="00DD6079"/>
    <w:rsid w:val="00DD7960"/>
    <w:rsid w:val="00DD7DB4"/>
    <w:rsid w:val="00DE03C7"/>
    <w:rsid w:val="00DE0B81"/>
    <w:rsid w:val="00DE10A4"/>
    <w:rsid w:val="00DE1640"/>
    <w:rsid w:val="00DE1E4B"/>
    <w:rsid w:val="00DE23D4"/>
    <w:rsid w:val="00DE2CA8"/>
    <w:rsid w:val="00DE3EE1"/>
    <w:rsid w:val="00DE41D8"/>
    <w:rsid w:val="00DE5079"/>
    <w:rsid w:val="00DE50CD"/>
    <w:rsid w:val="00DE50DB"/>
    <w:rsid w:val="00DE5731"/>
    <w:rsid w:val="00DE5759"/>
    <w:rsid w:val="00DE62F7"/>
    <w:rsid w:val="00DE657E"/>
    <w:rsid w:val="00DE6619"/>
    <w:rsid w:val="00DE6BD8"/>
    <w:rsid w:val="00DE6C50"/>
    <w:rsid w:val="00DE7066"/>
    <w:rsid w:val="00DF00B0"/>
    <w:rsid w:val="00DF0709"/>
    <w:rsid w:val="00DF07CD"/>
    <w:rsid w:val="00DF167B"/>
    <w:rsid w:val="00DF1B4A"/>
    <w:rsid w:val="00DF1B91"/>
    <w:rsid w:val="00DF371B"/>
    <w:rsid w:val="00DF5753"/>
    <w:rsid w:val="00DF64A8"/>
    <w:rsid w:val="00DF6FC5"/>
    <w:rsid w:val="00DF72E3"/>
    <w:rsid w:val="00DF73EF"/>
    <w:rsid w:val="00DF7502"/>
    <w:rsid w:val="00E00871"/>
    <w:rsid w:val="00E00B78"/>
    <w:rsid w:val="00E00E96"/>
    <w:rsid w:val="00E014F6"/>
    <w:rsid w:val="00E02294"/>
    <w:rsid w:val="00E02B93"/>
    <w:rsid w:val="00E033D1"/>
    <w:rsid w:val="00E03666"/>
    <w:rsid w:val="00E0387E"/>
    <w:rsid w:val="00E042A7"/>
    <w:rsid w:val="00E0436D"/>
    <w:rsid w:val="00E045AD"/>
    <w:rsid w:val="00E04967"/>
    <w:rsid w:val="00E04C20"/>
    <w:rsid w:val="00E05102"/>
    <w:rsid w:val="00E055A6"/>
    <w:rsid w:val="00E05624"/>
    <w:rsid w:val="00E05DBE"/>
    <w:rsid w:val="00E05F1E"/>
    <w:rsid w:val="00E0696D"/>
    <w:rsid w:val="00E07159"/>
    <w:rsid w:val="00E07329"/>
    <w:rsid w:val="00E078D7"/>
    <w:rsid w:val="00E07948"/>
    <w:rsid w:val="00E07EA0"/>
    <w:rsid w:val="00E108AE"/>
    <w:rsid w:val="00E1126A"/>
    <w:rsid w:val="00E1135E"/>
    <w:rsid w:val="00E11498"/>
    <w:rsid w:val="00E1171A"/>
    <w:rsid w:val="00E11ABE"/>
    <w:rsid w:val="00E11C62"/>
    <w:rsid w:val="00E1228E"/>
    <w:rsid w:val="00E126B2"/>
    <w:rsid w:val="00E13D09"/>
    <w:rsid w:val="00E163F0"/>
    <w:rsid w:val="00E16498"/>
    <w:rsid w:val="00E165D7"/>
    <w:rsid w:val="00E16BC1"/>
    <w:rsid w:val="00E1797B"/>
    <w:rsid w:val="00E179B4"/>
    <w:rsid w:val="00E17F34"/>
    <w:rsid w:val="00E20D1C"/>
    <w:rsid w:val="00E2121E"/>
    <w:rsid w:val="00E2142D"/>
    <w:rsid w:val="00E21A15"/>
    <w:rsid w:val="00E21C47"/>
    <w:rsid w:val="00E23914"/>
    <w:rsid w:val="00E23D77"/>
    <w:rsid w:val="00E23DC3"/>
    <w:rsid w:val="00E2431E"/>
    <w:rsid w:val="00E24410"/>
    <w:rsid w:val="00E24E20"/>
    <w:rsid w:val="00E252FE"/>
    <w:rsid w:val="00E25FE8"/>
    <w:rsid w:val="00E26173"/>
    <w:rsid w:val="00E26FC2"/>
    <w:rsid w:val="00E2799A"/>
    <w:rsid w:val="00E27E85"/>
    <w:rsid w:val="00E304EE"/>
    <w:rsid w:val="00E3082D"/>
    <w:rsid w:val="00E3156F"/>
    <w:rsid w:val="00E31D1B"/>
    <w:rsid w:val="00E3202C"/>
    <w:rsid w:val="00E32542"/>
    <w:rsid w:val="00E32698"/>
    <w:rsid w:val="00E327A1"/>
    <w:rsid w:val="00E34088"/>
    <w:rsid w:val="00E34890"/>
    <w:rsid w:val="00E34947"/>
    <w:rsid w:val="00E34B77"/>
    <w:rsid w:val="00E36494"/>
    <w:rsid w:val="00E372D5"/>
    <w:rsid w:val="00E374B0"/>
    <w:rsid w:val="00E3751F"/>
    <w:rsid w:val="00E37710"/>
    <w:rsid w:val="00E377FB"/>
    <w:rsid w:val="00E379AD"/>
    <w:rsid w:val="00E37E4A"/>
    <w:rsid w:val="00E37E93"/>
    <w:rsid w:val="00E40CCD"/>
    <w:rsid w:val="00E41320"/>
    <w:rsid w:val="00E41768"/>
    <w:rsid w:val="00E41A96"/>
    <w:rsid w:val="00E4256A"/>
    <w:rsid w:val="00E429E9"/>
    <w:rsid w:val="00E437A8"/>
    <w:rsid w:val="00E438FF"/>
    <w:rsid w:val="00E4395E"/>
    <w:rsid w:val="00E43B5B"/>
    <w:rsid w:val="00E43B69"/>
    <w:rsid w:val="00E44038"/>
    <w:rsid w:val="00E44C54"/>
    <w:rsid w:val="00E4521A"/>
    <w:rsid w:val="00E45890"/>
    <w:rsid w:val="00E45928"/>
    <w:rsid w:val="00E45A16"/>
    <w:rsid w:val="00E45A5C"/>
    <w:rsid w:val="00E46BAA"/>
    <w:rsid w:val="00E46E30"/>
    <w:rsid w:val="00E46EA3"/>
    <w:rsid w:val="00E47AC6"/>
    <w:rsid w:val="00E47C17"/>
    <w:rsid w:val="00E5052D"/>
    <w:rsid w:val="00E50BCF"/>
    <w:rsid w:val="00E50F2F"/>
    <w:rsid w:val="00E5160A"/>
    <w:rsid w:val="00E52345"/>
    <w:rsid w:val="00E52674"/>
    <w:rsid w:val="00E52943"/>
    <w:rsid w:val="00E52B44"/>
    <w:rsid w:val="00E52D0D"/>
    <w:rsid w:val="00E52F48"/>
    <w:rsid w:val="00E53C28"/>
    <w:rsid w:val="00E53CC1"/>
    <w:rsid w:val="00E54D86"/>
    <w:rsid w:val="00E550BE"/>
    <w:rsid w:val="00E55E94"/>
    <w:rsid w:val="00E568D5"/>
    <w:rsid w:val="00E57C91"/>
    <w:rsid w:val="00E6055B"/>
    <w:rsid w:val="00E60834"/>
    <w:rsid w:val="00E6130D"/>
    <w:rsid w:val="00E626A2"/>
    <w:rsid w:val="00E6275C"/>
    <w:rsid w:val="00E62764"/>
    <w:rsid w:val="00E630BB"/>
    <w:rsid w:val="00E63FBE"/>
    <w:rsid w:val="00E645E4"/>
    <w:rsid w:val="00E64679"/>
    <w:rsid w:val="00E647AF"/>
    <w:rsid w:val="00E64BC8"/>
    <w:rsid w:val="00E65107"/>
    <w:rsid w:val="00E65643"/>
    <w:rsid w:val="00E659C9"/>
    <w:rsid w:val="00E6715C"/>
    <w:rsid w:val="00E67EFC"/>
    <w:rsid w:val="00E7007C"/>
    <w:rsid w:val="00E70625"/>
    <w:rsid w:val="00E7188B"/>
    <w:rsid w:val="00E72821"/>
    <w:rsid w:val="00E729E1"/>
    <w:rsid w:val="00E72AD2"/>
    <w:rsid w:val="00E72D5C"/>
    <w:rsid w:val="00E730C8"/>
    <w:rsid w:val="00E7357A"/>
    <w:rsid w:val="00E7360E"/>
    <w:rsid w:val="00E73DAA"/>
    <w:rsid w:val="00E74664"/>
    <w:rsid w:val="00E74BF3"/>
    <w:rsid w:val="00E751CC"/>
    <w:rsid w:val="00E75425"/>
    <w:rsid w:val="00E75CB6"/>
    <w:rsid w:val="00E75EF7"/>
    <w:rsid w:val="00E75FE5"/>
    <w:rsid w:val="00E77BC2"/>
    <w:rsid w:val="00E80038"/>
    <w:rsid w:val="00E807CB"/>
    <w:rsid w:val="00E80A04"/>
    <w:rsid w:val="00E81396"/>
    <w:rsid w:val="00E8140A"/>
    <w:rsid w:val="00E82A06"/>
    <w:rsid w:val="00E838DA"/>
    <w:rsid w:val="00E83915"/>
    <w:rsid w:val="00E84466"/>
    <w:rsid w:val="00E848DB"/>
    <w:rsid w:val="00E84D5D"/>
    <w:rsid w:val="00E84DCB"/>
    <w:rsid w:val="00E85DE2"/>
    <w:rsid w:val="00E86291"/>
    <w:rsid w:val="00E86468"/>
    <w:rsid w:val="00E86805"/>
    <w:rsid w:val="00E86844"/>
    <w:rsid w:val="00E86C5B"/>
    <w:rsid w:val="00E8717A"/>
    <w:rsid w:val="00E87747"/>
    <w:rsid w:val="00E87BB3"/>
    <w:rsid w:val="00E90ABE"/>
    <w:rsid w:val="00E90C49"/>
    <w:rsid w:val="00E91211"/>
    <w:rsid w:val="00E91F68"/>
    <w:rsid w:val="00E920BF"/>
    <w:rsid w:val="00E92A6F"/>
    <w:rsid w:val="00E92AB1"/>
    <w:rsid w:val="00E92FAA"/>
    <w:rsid w:val="00E93102"/>
    <w:rsid w:val="00E93526"/>
    <w:rsid w:val="00E93959"/>
    <w:rsid w:val="00E93CA3"/>
    <w:rsid w:val="00E93CC1"/>
    <w:rsid w:val="00E9420F"/>
    <w:rsid w:val="00E94881"/>
    <w:rsid w:val="00E955E1"/>
    <w:rsid w:val="00E95814"/>
    <w:rsid w:val="00E961F3"/>
    <w:rsid w:val="00E971B5"/>
    <w:rsid w:val="00E971CA"/>
    <w:rsid w:val="00E97C7D"/>
    <w:rsid w:val="00EA0142"/>
    <w:rsid w:val="00EA02EB"/>
    <w:rsid w:val="00EA1974"/>
    <w:rsid w:val="00EA2671"/>
    <w:rsid w:val="00EA3DC1"/>
    <w:rsid w:val="00EA4473"/>
    <w:rsid w:val="00EA46C0"/>
    <w:rsid w:val="00EA4E52"/>
    <w:rsid w:val="00EA5308"/>
    <w:rsid w:val="00EA6B67"/>
    <w:rsid w:val="00EA6CC2"/>
    <w:rsid w:val="00EA6EA2"/>
    <w:rsid w:val="00EA72A9"/>
    <w:rsid w:val="00EA7822"/>
    <w:rsid w:val="00EB09EE"/>
    <w:rsid w:val="00EB1DB2"/>
    <w:rsid w:val="00EB2462"/>
    <w:rsid w:val="00EB29AE"/>
    <w:rsid w:val="00EB2CDD"/>
    <w:rsid w:val="00EB38A7"/>
    <w:rsid w:val="00EB3ACC"/>
    <w:rsid w:val="00EB48BA"/>
    <w:rsid w:val="00EB4D8F"/>
    <w:rsid w:val="00EB5E06"/>
    <w:rsid w:val="00EB5FA3"/>
    <w:rsid w:val="00EB6538"/>
    <w:rsid w:val="00EB70A9"/>
    <w:rsid w:val="00EB71C2"/>
    <w:rsid w:val="00EC1270"/>
    <w:rsid w:val="00EC1350"/>
    <w:rsid w:val="00EC1B1F"/>
    <w:rsid w:val="00EC23CE"/>
    <w:rsid w:val="00EC2557"/>
    <w:rsid w:val="00EC26A7"/>
    <w:rsid w:val="00EC2CC2"/>
    <w:rsid w:val="00EC2DA9"/>
    <w:rsid w:val="00EC2E59"/>
    <w:rsid w:val="00EC4F16"/>
    <w:rsid w:val="00EC5373"/>
    <w:rsid w:val="00EC57D2"/>
    <w:rsid w:val="00EC7462"/>
    <w:rsid w:val="00EC78E4"/>
    <w:rsid w:val="00EC7AE3"/>
    <w:rsid w:val="00EC7DE3"/>
    <w:rsid w:val="00ED1AE5"/>
    <w:rsid w:val="00ED1FB8"/>
    <w:rsid w:val="00ED208B"/>
    <w:rsid w:val="00ED23BF"/>
    <w:rsid w:val="00ED23C0"/>
    <w:rsid w:val="00ED27A2"/>
    <w:rsid w:val="00ED2F36"/>
    <w:rsid w:val="00ED30E3"/>
    <w:rsid w:val="00ED38A9"/>
    <w:rsid w:val="00ED4062"/>
    <w:rsid w:val="00ED42E5"/>
    <w:rsid w:val="00ED49AD"/>
    <w:rsid w:val="00ED4FFB"/>
    <w:rsid w:val="00ED5466"/>
    <w:rsid w:val="00ED5528"/>
    <w:rsid w:val="00ED57AF"/>
    <w:rsid w:val="00ED7317"/>
    <w:rsid w:val="00ED7883"/>
    <w:rsid w:val="00ED7FB6"/>
    <w:rsid w:val="00EE018D"/>
    <w:rsid w:val="00EE0794"/>
    <w:rsid w:val="00EE164D"/>
    <w:rsid w:val="00EE22BC"/>
    <w:rsid w:val="00EE2DD7"/>
    <w:rsid w:val="00EE2F31"/>
    <w:rsid w:val="00EE350C"/>
    <w:rsid w:val="00EE389A"/>
    <w:rsid w:val="00EE4946"/>
    <w:rsid w:val="00EE5415"/>
    <w:rsid w:val="00EE54A9"/>
    <w:rsid w:val="00EE5B3A"/>
    <w:rsid w:val="00EE624A"/>
    <w:rsid w:val="00EE6DB3"/>
    <w:rsid w:val="00EE778F"/>
    <w:rsid w:val="00EE7F33"/>
    <w:rsid w:val="00EF23DF"/>
    <w:rsid w:val="00EF29AC"/>
    <w:rsid w:val="00EF2FAE"/>
    <w:rsid w:val="00EF3770"/>
    <w:rsid w:val="00EF49F9"/>
    <w:rsid w:val="00EF4EC7"/>
    <w:rsid w:val="00EF502C"/>
    <w:rsid w:val="00EF5525"/>
    <w:rsid w:val="00EF5D25"/>
    <w:rsid w:val="00EF6649"/>
    <w:rsid w:val="00EF75D5"/>
    <w:rsid w:val="00EF792E"/>
    <w:rsid w:val="00F0163E"/>
    <w:rsid w:val="00F01C2F"/>
    <w:rsid w:val="00F02118"/>
    <w:rsid w:val="00F02F21"/>
    <w:rsid w:val="00F03796"/>
    <w:rsid w:val="00F0501D"/>
    <w:rsid w:val="00F05F16"/>
    <w:rsid w:val="00F06684"/>
    <w:rsid w:val="00F074C3"/>
    <w:rsid w:val="00F07B96"/>
    <w:rsid w:val="00F07CF7"/>
    <w:rsid w:val="00F1064F"/>
    <w:rsid w:val="00F10AB8"/>
    <w:rsid w:val="00F10D53"/>
    <w:rsid w:val="00F11752"/>
    <w:rsid w:val="00F11EA2"/>
    <w:rsid w:val="00F11F8A"/>
    <w:rsid w:val="00F11FF3"/>
    <w:rsid w:val="00F12B73"/>
    <w:rsid w:val="00F131D8"/>
    <w:rsid w:val="00F13F0E"/>
    <w:rsid w:val="00F145F9"/>
    <w:rsid w:val="00F14C1A"/>
    <w:rsid w:val="00F14C55"/>
    <w:rsid w:val="00F14D7A"/>
    <w:rsid w:val="00F14FB6"/>
    <w:rsid w:val="00F153BC"/>
    <w:rsid w:val="00F15840"/>
    <w:rsid w:val="00F15C6C"/>
    <w:rsid w:val="00F15CDE"/>
    <w:rsid w:val="00F15CF3"/>
    <w:rsid w:val="00F16A57"/>
    <w:rsid w:val="00F17412"/>
    <w:rsid w:val="00F21A49"/>
    <w:rsid w:val="00F2264A"/>
    <w:rsid w:val="00F2308E"/>
    <w:rsid w:val="00F2422D"/>
    <w:rsid w:val="00F25B0D"/>
    <w:rsid w:val="00F25C55"/>
    <w:rsid w:val="00F26B19"/>
    <w:rsid w:val="00F2703C"/>
    <w:rsid w:val="00F277CA"/>
    <w:rsid w:val="00F27ACF"/>
    <w:rsid w:val="00F27DBB"/>
    <w:rsid w:val="00F300BE"/>
    <w:rsid w:val="00F30321"/>
    <w:rsid w:val="00F3033E"/>
    <w:rsid w:val="00F30E7A"/>
    <w:rsid w:val="00F32404"/>
    <w:rsid w:val="00F32F5C"/>
    <w:rsid w:val="00F341B6"/>
    <w:rsid w:val="00F34680"/>
    <w:rsid w:val="00F350B5"/>
    <w:rsid w:val="00F35778"/>
    <w:rsid w:val="00F36059"/>
    <w:rsid w:val="00F36175"/>
    <w:rsid w:val="00F364BB"/>
    <w:rsid w:val="00F36F22"/>
    <w:rsid w:val="00F36F28"/>
    <w:rsid w:val="00F375D6"/>
    <w:rsid w:val="00F37656"/>
    <w:rsid w:val="00F40965"/>
    <w:rsid w:val="00F40A26"/>
    <w:rsid w:val="00F40ED7"/>
    <w:rsid w:val="00F40FC0"/>
    <w:rsid w:val="00F41BB4"/>
    <w:rsid w:val="00F41BE8"/>
    <w:rsid w:val="00F42A7E"/>
    <w:rsid w:val="00F43A54"/>
    <w:rsid w:val="00F45BA7"/>
    <w:rsid w:val="00F45C3D"/>
    <w:rsid w:val="00F46F59"/>
    <w:rsid w:val="00F473BD"/>
    <w:rsid w:val="00F51E08"/>
    <w:rsid w:val="00F52594"/>
    <w:rsid w:val="00F52DD1"/>
    <w:rsid w:val="00F53C91"/>
    <w:rsid w:val="00F53D47"/>
    <w:rsid w:val="00F5491A"/>
    <w:rsid w:val="00F54955"/>
    <w:rsid w:val="00F54D5C"/>
    <w:rsid w:val="00F560EA"/>
    <w:rsid w:val="00F562B9"/>
    <w:rsid w:val="00F5794D"/>
    <w:rsid w:val="00F602A0"/>
    <w:rsid w:val="00F609B4"/>
    <w:rsid w:val="00F609EA"/>
    <w:rsid w:val="00F60C4B"/>
    <w:rsid w:val="00F6190F"/>
    <w:rsid w:val="00F626DE"/>
    <w:rsid w:val="00F63BBD"/>
    <w:rsid w:val="00F64077"/>
    <w:rsid w:val="00F6481D"/>
    <w:rsid w:val="00F64E43"/>
    <w:rsid w:val="00F64F8D"/>
    <w:rsid w:val="00F65DA2"/>
    <w:rsid w:val="00F65DD5"/>
    <w:rsid w:val="00F66710"/>
    <w:rsid w:val="00F667B8"/>
    <w:rsid w:val="00F669B7"/>
    <w:rsid w:val="00F67058"/>
    <w:rsid w:val="00F67CE3"/>
    <w:rsid w:val="00F70EB5"/>
    <w:rsid w:val="00F71A28"/>
    <w:rsid w:val="00F748FC"/>
    <w:rsid w:val="00F74E35"/>
    <w:rsid w:val="00F74EC4"/>
    <w:rsid w:val="00F7584D"/>
    <w:rsid w:val="00F75C4A"/>
    <w:rsid w:val="00F75F1D"/>
    <w:rsid w:val="00F7616B"/>
    <w:rsid w:val="00F766B6"/>
    <w:rsid w:val="00F767F9"/>
    <w:rsid w:val="00F807F7"/>
    <w:rsid w:val="00F8091E"/>
    <w:rsid w:val="00F81273"/>
    <w:rsid w:val="00F8129E"/>
    <w:rsid w:val="00F81637"/>
    <w:rsid w:val="00F81DA2"/>
    <w:rsid w:val="00F81DA6"/>
    <w:rsid w:val="00F833E5"/>
    <w:rsid w:val="00F834C5"/>
    <w:rsid w:val="00F837C3"/>
    <w:rsid w:val="00F84072"/>
    <w:rsid w:val="00F84295"/>
    <w:rsid w:val="00F84411"/>
    <w:rsid w:val="00F849AD"/>
    <w:rsid w:val="00F84F7B"/>
    <w:rsid w:val="00F859B8"/>
    <w:rsid w:val="00F86C14"/>
    <w:rsid w:val="00F87AE2"/>
    <w:rsid w:val="00F87E4D"/>
    <w:rsid w:val="00F87FDE"/>
    <w:rsid w:val="00F903DD"/>
    <w:rsid w:val="00F91145"/>
    <w:rsid w:val="00F91158"/>
    <w:rsid w:val="00F91E64"/>
    <w:rsid w:val="00F934C8"/>
    <w:rsid w:val="00F942DD"/>
    <w:rsid w:val="00F94CEE"/>
    <w:rsid w:val="00F958A5"/>
    <w:rsid w:val="00F9614C"/>
    <w:rsid w:val="00F963A1"/>
    <w:rsid w:val="00FA070E"/>
    <w:rsid w:val="00FA1795"/>
    <w:rsid w:val="00FA1CA5"/>
    <w:rsid w:val="00FA1F50"/>
    <w:rsid w:val="00FA2678"/>
    <w:rsid w:val="00FA3456"/>
    <w:rsid w:val="00FA37ED"/>
    <w:rsid w:val="00FA54FA"/>
    <w:rsid w:val="00FA5AC1"/>
    <w:rsid w:val="00FB0D52"/>
    <w:rsid w:val="00FB1144"/>
    <w:rsid w:val="00FB117A"/>
    <w:rsid w:val="00FB28D0"/>
    <w:rsid w:val="00FB2EFE"/>
    <w:rsid w:val="00FB3165"/>
    <w:rsid w:val="00FB31E5"/>
    <w:rsid w:val="00FB344C"/>
    <w:rsid w:val="00FB3B7E"/>
    <w:rsid w:val="00FB411D"/>
    <w:rsid w:val="00FB4811"/>
    <w:rsid w:val="00FB6E68"/>
    <w:rsid w:val="00FB72C4"/>
    <w:rsid w:val="00FC0888"/>
    <w:rsid w:val="00FC0B27"/>
    <w:rsid w:val="00FC0FD9"/>
    <w:rsid w:val="00FC120C"/>
    <w:rsid w:val="00FC1BDE"/>
    <w:rsid w:val="00FC1D4C"/>
    <w:rsid w:val="00FC2421"/>
    <w:rsid w:val="00FC2729"/>
    <w:rsid w:val="00FC3671"/>
    <w:rsid w:val="00FC392C"/>
    <w:rsid w:val="00FC446B"/>
    <w:rsid w:val="00FC4822"/>
    <w:rsid w:val="00FC48AB"/>
    <w:rsid w:val="00FC4AC7"/>
    <w:rsid w:val="00FC4B5B"/>
    <w:rsid w:val="00FC4DF5"/>
    <w:rsid w:val="00FC59AD"/>
    <w:rsid w:val="00FC5EC4"/>
    <w:rsid w:val="00FC636D"/>
    <w:rsid w:val="00FC6846"/>
    <w:rsid w:val="00FC76E4"/>
    <w:rsid w:val="00FC78DA"/>
    <w:rsid w:val="00FD0682"/>
    <w:rsid w:val="00FD06FD"/>
    <w:rsid w:val="00FD08D9"/>
    <w:rsid w:val="00FD0C6F"/>
    <w:rsid w:val="00FD0D49"/>
    <w:rsid w:val="00FD0EE9"/>
    <w:rsid w:val="00FD146F"/>
    <w:rsid w:val="00FD188D"/>
    <w:rsid w:val="00FD18E7"/>
    <w:rsid w:val="00FD1AD0"/>
    <w:rsid w:val="00FD1CBB"/>
    <w:rsid w:val="00FD291C"/>
    <w:rsid w:val="00FD29EA"/>
    <w:rsid w:val="00FD2BC6"/>
    <w:rsid w:val="00FD4032"/>
    <w:rsid w:val="00FD4ECC"/>
    <w:rsid w:val="00FD7442"/>
    <w:rsid w:val="00FE09A5"/>
    <w:rsid w:val="00FE1615"/>
    <w:rsid w:val="00FE1E95"/>
    <w:rsid w:val="00FE2461"/>
    <w:rsid w:val="00FE25DC"/>
    <w:rsid w:val="00FE36A0"/>
    <w:rsid w:val="00FE42D3"/>
    <w:rsid w:val="00FE4C15"/>
    <w:rsid w:val="00FE4DE6"/>
    <w:rsid w:val="00FE51E3"/>
    <w:rsid w:val="00FE577B"/>
    <w:rsid w:val="00FE582B"/>
    <w:rsid w:val="00FF03A4"/>
    <w:rsid w:val="00FF0817"/>
    <w:rsid w:val="00FF09DD"/>
    <w:rsid w:val="00FF0B2A"/>
    <w:rsid w:val="00FF16BD"/>
    <w:rsid w:val="00FF1EE9"/>
    <w:rsid w:val="00FF290B"/>
    <w:rsid w:val="00FF38DF"/>
    <w:rsid w:val="00FF4021"/>
    <w:rsid w:val="00FF51A4"/>
    <w:rsid w:val="00FF5444"/>
    <w:rsid w:val="00FF5613"/>
    <w:rsid w:val="00FF5D63"/>
    <w:rsid w:val="00FF691B"/>
    <w:rsid w:val="00FF79CE"/>
    <w:rsid w:val="014BF40C"/>
    <w:rsid w:val="0162F958"/>
    <w:rsid w:val="016CF549"/>
    <w:rsid w:val="017A1CE3"/>
    <w:rsid w:val="01A9F24B"/>
    <w:rsid w:val="01E52BE2"/>
    <w:rsid w:val="025015FE"/>
    <w:rsid w:val="026314D0"/>
    <w:rsid w:val="027E2445"/>
    <w:rsid w:val="02D633D7"/>
    <w:rsid w:val="02FFCFC1"/>
    <w:rsid w:val="03278C33"/>
    <w:rsid w:val="033845C4"/>
    <w:rsid w:val="0362AC54"/>
    <w:rsid w:val="03BFD743"/>
    <w:rsid w:val="03C6BA03"/>
    <w:rsid w:val="03F20588"/>
    <w:rsid w:val="040466BB"/>
    <w:rsid w:val="041921CA"/>
    <w:rsid w:val="046B984E"/>
    <w:rsid w:val="04947375"/>
    <w:rsid w:val="04D5BD9C"/>
    <w:rsid w:val="0509F253"/>
    <w:rsid w:val="0509F2B6"/>
    <w:rsid w:val="053EF497"/>
    <w:rsid w:val="05A99CA3"/>
    <w:rsid w:val="05AB698D"/>
    <w:rsid w:val="05D85E4D"/>
    <w:rsid w:val="05F65D90"/>
    <w:rsid w:val="060D1252"/>
    <w:rsid w:val="063CA2E8"/>
    <w:rsid w:val="0642B8FA"/>
    <w:rsid w:val="0653A838"/>
    <w:rsid w:val="065AC3C5"/>
    <w:rsid w:val="06A06A1C"/>
    <w:rsid w:val="06A41843"/>
    <w:rsid w:val="06C9F14E"/>
    <w:rsid w:val="06FA82B1"/>
    <w:rsid w:val="078F1A75"/>
    <w:rsid w:val="07EB74F9"/>
    <w:rsid w:val="07FE12D6"/>
    <w:rsid w:val="081A09E5"/>
    <w:rsid w:val="0823E002"/>
    <w:rsid w:val="08C14C6E"/>
    <w:rsid w:val="08D6E96B"/>
    <w:rsid w:val="092D875F"/>
    <w:rsid w:val="097D2487"/>
    <w:rsid w:val="0A5AEC27"/>
    <w:rsid w:val="0A8C107D"/>
    <w:rsid w:val="0A8DA8C2"/>
    <w:rsid w:val="0AEE098A"/>
    <w:rsid w:val="0BA214D7"/>
    <w:rsid w:val="0BF177E7"/>
    <w:rsid w:val="0C3719BB"/>
    <w:rsid w:val="0C6F3A41"/>
    <w:rsid w:val="0C7F0FF8"/>
    <w:rsid w:val="0CB9B8F6"/>
    <w:rsid w:val="0D2E846B"/>
    <w:rsid w:val="0D2F0009"/>
    <w:rsid w:val="0D9AB669"/>
    <w:rsid w:val="0DA3461A"/>
    <w:rsid w:val="0E0F30D9"/>
    <w:rsid w:val="0E34DC2C"/>
    <w:rsid w:val="0E542468"/>
    <w:rsid w:val="0E7FFEF2"/>
    <w:rsid w:val="0E98FCAE"/>
    <w:rsid w:val="0EA298E4"/>
    <w:rsid w:val="0EAB4634"/>
    <w:rsid w:val="0EB43649"/>
    <w:rsid w:val="0EBA06A5"/>
    <w:rsid w:val="0F206A42"/>
    <w:rsid w:val="0F27275F"/>
    <w:rsid w:val="0F274F99"/>
    <w:rsid w:val="0F3776A2"/>
    <w:rsid w:val="0F3CA058"/>
    <w:rsid w:val="0F62CE8F"/>
    <w:rsid w:val="0F694978"/>
    <w:rsid w:val="0F719EF7"/>
    <w:rsid w:val="0F73BA51"/>
    <w:rsid w:val="0F752AFF"/>
    <w:rsid w:val="0F8E3EA6"/>
    <w:rsid w:val="0FA860A4"/>
    <w:rsid w:val="1043006D"/>
    <w:rsid w:val="107896D0"/>
    <w:rsid w:val="1088FF9E"/>
    <w:rsid w:val="1098DD0C"/>
    <w:rsid w:val="10F635AF"/>
    <w:rsid w:val="11228EFC"/>
    <w:rsid w:val="11DCC947"/>
    <w:rsid w:val="122180A5"/>
    <w:rsid w:val="12705EF8"/>
    <w:rsid w:val="12F67982"/>
    <w:rsid w:val="1301317D"/>
    <w:rsid w:val="136096DC"/>
    <w:rsid w:val="13967416"/>
    <w:rsid w:val="13BA1469"/>
    <w:rsid w:val="141341A0"/>
    <w:rsid w:val="1460FAFB"/>
    <w:rsid w:val="149A33D0"/>
    <w:rsid w:val="14AA5632"/>
    <w:rsid w:val="14E5261A"/>
    <w:rsid w:val="14EF6383"/>
    <w:rsid w:val="15268DAB"/>
    <w:rsid w:val="157562B8"/>
    <w:rsid w:val="157B1D46"/>
    <w:rsid w:val="15912DF5"/>
    <w:rsid w:val="15DACADF"/>
    <w:rsid w:val="1615D07D"/>
    <w:rsid w:val="161D9CDB"/>
    <w:rsid w:val="164C64F4"/>
    <w:rsid w:val="1696F0EF"/>
    <w:rsid w:val="16BA9813"/>
    <w:rsid w:val="171233E6"/>
    <w:rsid w:val="1725165B"/>
    <w:rsid w:val="174AAA69"/>
    <w:rsid w:val="17AA212F"/>
    <w:rsid w:val="17B6BA54"/>
    <w:rsid w:val="18388034"/>
    <w:rsid w:val="184D07B3"/>
    <w:rsid w:val="1861923B"/>
    <w:rsid w:val="186EC476"/>
    <w:rsid w:val="1873D05F"/>
    <w:rsid w:val="18D8DE90"/>
    <w:rsid w:val="1907AE34"/>
    <w:rsid w:val="1915BF62"/>
    <w:rsid w:val="1927E86F"/>
    <w:rsid w:val="1937CEAE"/>
    <w:rsid w:val="1953080F"/>
    <w:rsid w:val="195981C5"/>
    <w:rsid w:val="19755D94"/>
    <w:rsid w:val="197B2CD5"/>
    <w:rsid w:val="19FA62BC"/>
    <w:rsid w:val="1A14F12E"/>
    <w:rsid w:val="1A1A3587"/>
    <w:rsid w:val="1A1C4E7A"/>
    <w:rsid w:val="1A53E204"/>
    <w:rsid w:val="1AF26DE4"/>
    <w:rsid w:val="1B1F489B"/>
    <w:rsid w:val="1B460DFC"/>
    <w:rsid w:val="1B64F103"/>
    <w:rsid w:val="1B6ED75E"/>
    <w:rsid w:val="1BA14EA4"/>
    <w:rsid w:val="1BDEA902"/>
    <w:rsid w:val="1BF16963"/>
    <w:rsid w:val="1C109ADE"/>
    <w:rsid w:val="1C1F5522"/>
    <w:rsid w:val="1C693EB1"/>
    <w:rsid w:val="1C8CE14B"/>
    <w:rsid w:val="1C96E8DC"/>
    <w:rsid w:val="1CDC7F55"/>
    <w:rsid w:val="1D32A6FC"/>
    <w:rsid w:val="1D3ABCBF"/>
    <w:rsid w:val="1D78F6FF"/>
    <w:rsid w:val="1DC25594"/>
    <w:rsid w:val="1E6DB7B2"/>
    <w:rsid w:val="1E870280"/>
    <w:rsid w:val="1EB3F246"/>
    <w:rsid w:val="1EFFCFD4"/>
    <w:rsid w:val="1F067603"/>
    <w:rsid w:val="1F22DBA6"/>
    <w:rsid w:val="1FA538D6"/>
    <w:rsid w:val="1FABC55F"/>
    <w:rsid w:val="1FACB162"/>
    <w:rsid w:val="1FBD9334"/>
    <w:rsid w:val="2034A4B6"/>
    <w:rsid w:val="203FB6E4"/>
    <w:rsid w:val="204561D0"/>
    <w:rsid w:val="2060F8CC"/>
    <w:rsid w:val="2068024B"/>
    <w:rsid w:val="206FE4D4"/>
    <w:rsid w:val="207872D7"/>
    <w:rsid w:val="2078818D"/>
    <w:rsid w:val="2094C809"/>
    <w:rsid w:val="209A9B59"/>
    <w:rsid w:val="20D74938"/>
    <w:rsid w:val="2145C3A3"/>
    <w:rsid w:val="215C34F7"/>
    <w:rsid w:val="2172DC56"/>
    <w:rsid w:val="21C75D0D"/>
    <w:rsid w:val="220FE5B9"/>
    <w:rsid w:val="22131D97"/>
    <w:rsid w:val="22B186FC"/>
    <w:rsid w:val="23334C1C"/>
    <w:rsid w:val="2375F0D4"/>
    <w:rsid w:val="239CC564"/>
    <w:rsid w:val="239D7F6E"/>
    <w:rsid w:val="23B5F598"/>
    <w:rsid w:val="23C6B530"/>
    <w:rsid w:val="23DC13A6"/>
    <w:rsid w:val="2401B471"/>
    <w:rsid w:val="245260E0"/>
    <w:rsid w:val="2456D9BA"/>
    <w:rsid w:val="24854386"/>
    <w:rsid w:val="2487E287"/>
    <w:rsid w:val="24979699"/>
    <w:rsid w:val="24B017D7"/>
    <w:rsid w:val="255635C6"/>
    <w:rsid w:val="258CF269"/>
    <w:rsid w:val="25B2EE10"/>
    <w:rsid w:val="25D186FC"/>
    <w:rsid w:val="25EC4753"/>
    <w:rsid w:val="25F19BB7"/>
    <w:rsid w:val="25F6E4BA"/>
    <w:rsid w:val="26110052"/>
    <w:rsid w:val="265A071B"/>
    <w:rsid w:val="26D06756"/>
    <w:rsid w:val="273D79A3"/>
    <w:rsid w:val="27559AB4"/>
    <w:rsid w:val="2787B310"/>
    <w:rsid w:val="28021C71"/>
    <w:rsid w:val="282F8765"/>
    <w:rsid w:val="2840B173"/>
    <w:rsid w:val="284A23E8"/>
    <w:rsid w:val="2852A2A6"/>
    <w:rsid w:val="286CB286"/>
    <w:rsid w:val="288FB4A0"/>
    <w:rsid w:val="28BEF883"/>
    <w:rsid w:val="2952D380"/>
    <w:rsid w:val="295DD7CE"/>
    <w:rsid w:val="29615C14"/>
    <w:rsid w:val="29820B78"/>
    <w:rsid w:val="29889054"/>
    <w:rsid w:val="29E79688"/>
    <w:rsid w:val="29EA0EA1"/>
    <w:rsid w:val="2A1803DC"/>
    <w:rsid w:val="2A4C7225"/>
    <w:rsid w:val="2AE9D706"/>
    <w:rsid w:val="2B3BDE67"/>
    <w:rsid w:val="2B5FCF2D"/>
    <w:rsid w:val="2B88A813"/>
    <w:rsid w:val="2BA3DDB9"/>
    <w:rsid w:val="2BB1F2C5"/>
    <w:rsid w:val="2BBC5E5B"/>
    <w:rsid w:val="2C180008"/>
    <w:rsid w:val="2C33F79B"/>
    <w:rsid w:val="2C71E190"/>
    <w:rsid w:val="2CA96042"/>
    <w:rsid w:val="2CADC8BB"/>
    <w:rsid w:val="2CB28AE8"/>
    <w:rsid w:val="2CEFFBF5"/>
    <w:rsid w:val="2CFD6051"/>
    <w:rsid w:val="2D3B9290"/>
    <w:rsid w:val="2D7304D1"/>
    <w:rsid w:val="2D899129"/>
    <w:rsid w:val="2DD2B55B"/>
    <w:rsid w:val="2DFEA6EA"/>
    <w:rsid w:val="2E12761E"/>
    <w:rsid w:val="2E17CE6D"/>
    <w:rsid w:val="2E52328D"/>
    <w:rsid w:val="2EACB3B5"/>
    <w:rsid w:val="2EDD5542"/>
    <w:rsid w:val="2EEC4FBB"/>
    <w:rsid w:val="2EFE1AE6"/>
    <w:rsid w:val="2F777ADC"/>
    <w:rsid w:val="2F7A2B16"/>
    <w:rsid w:val="2FDD45B4"/>
    <w:rsid w:val="2FE0CBF3"/>
    <w:rsid w:val="2FF438BC"/>
    <w:rsid w:val="302B2C86"/>
    <w:rsid w:val="3040D844"/>
    <w:rsid w:val="307F0F9C"/>
    <w:rsid w:val="3087812B"/>
    <w:rsid w:val="308CB792"/>
    <w:rsid w:val="30907D3F"/>
    <w:rsid w:val="3095043E"/>
    <w:rsid w:val="30CDB107"/>
    <w:rsid w:val="31ABBF4F"/>
    <w:rsid w:val="31B9891F"/>
    <w:rsid w:val="31C83825"/>
    <w:rsid w:val="31D2A9D3"/>
    <w:rsid w:val="31F59D12"/>
    <w:rsid w:val="325AC3C9"/>
    <w:rsid w:val="325E5ACD"/>
    <w:rsid w:val="325E6CF7"/>
    <w:rsid w:val="3286BEE4"/>
    <w:rsid w:val="32D71D1F"/>
    <w:rsid w:val="32E6A4B8"/>
    <w:rsid w:val="32F4D9A4"/>
    <w:rsid w:val="33292042"/>
    <w:rsid w:val="336885CE"/>
    <w:rsid w:val="33C40E0A"/>
    <w:rsid w:val="33CE18D0"/>
    <w:rsid w:val="33D8F581"/>
    <w:rsid w:val="33E5F582"/>
    <w:rsid w:val="344C2557"/>
    <w:rsid w:val="3457CB3C"/>
    <w:rsid w:val="34A0A2E3"/>
    <w:rsid w:val="34C78EE5"/>
    <w:rsid w:val="34D3A747"/>
    <w:rsid w:val="357A2DD8"/>
    <w:rsid w:val="359782C4"/>
    <w:rsid w:val="35BB6366"/>
    <w:rsid w:val="35C66C9D"/>
    <w:rsid w:val="35FAB344"/>
    <w:rsid w:val="363EE47D"/>
    <w:rsid w:val="36419B3F"/>
    <w:rsid w:val="366FCDB9"/>
    <w:rsid w:val="3689C464"/>
    <w:rsid w:val="37083F39"/>
    <w:rsid w:val="3732C6EC"/>
    <w:rsid w:val="376A31D5"/>
    <w:rsid w:val="37A50F7A"/>
    <w:rsid w:val="37FD6DC9"/>
    <w:rsid w:val="386897BD"/>
    <w:rsid w:val="386E2EEE"/>
    <w:rsid w:val="389E00AA"/>
    <w:rsid w:val="38A1B440"/>
    <w:rsid w:val="38CFCB5D"/>
    <w:rsid w:val="38D3AD96"/>
    <w:rsid w:val="38F52464"/>
    <w:rsid w:val="392FBD86"/>
    <w:rsid w:val="393A3729"/>
    <w:rsid w:val="393D5659"/>
    <w:rsid w:val="39447EF1"/>
    <w:rsid w:val="394AC2C8"/>
    <w:rsid w:val="3998F9D3"/>
    <w:rsid w:val="39A3F942"/>
    <w:rsid w:val="39B281A9"/>
    <w:rsid w:val="39EB5811"/>
    <w:rsid w:val="3A090143"/>
    <w:rsid w:val="3AD564B9"/>
    <w:rsid w:val="3B2E40B1"/>
    <w:rsid w:val="3B61F00C"/>
    <w:rsid w:val="3B7AF0A3"/>
    <w:rsid w:val="3BB4FAE8"/>
    <w:rsid w:val="3BF06124"/>
    <w:rsid w:val="3C05D85E"/>
    <w:rsid w:val="3C403D9E"/>
    <w:rsid w:val="3C4ACB08"/>
    <w:rsid w:val="3C824CA4"/>
    <w:rsid w:val="3CECD60B"/>
    <w:rsid w:val="3D0EC1DD"/>
    <w:rsid w:val="3D29F4D6"/>
    <w:rsid w:val="3D559D9B"/>
    <w:rsid w:val="3DAC57AF"/>
    <w:rsid w:val="3DAD63C5"/>
    <w:rsid w:val="3DE3A0D8"/>
    <w:rsid w:val="3E2E7BB6"/>
    <w:rsid w:val="3E8D6476"/>
    <w:rsid w:val="3E949A09"/>
    <w:rsid w:val="3EADD8EE"/>
    <w:rsid w:val="3EBA0868"/>
    <w:rsid w:val="3FD2B8D8"/>
    <w:rsid w:val="3FD487C2"/>
    <w:rsid w:val="3FE1B697"/>
    <w:rsid w:val="3FE9B6E9"/>
    <w:rsid w:val="4042A2AB"/>
    <w:rsid w:val="408C43C4"/>
    <w:rsid w:val="40B476E5"/>
    <w:rsid w:val="40D1A53B"/>
    <w:rsid w:val="41315994"/>
    <w:rsid w:val="416A0856"/>
    <w:rsid w:val="418C6F48"/>
    <w:rsid w:val="41C58D73"/>
    <w:rsid w:val="41F0EF4F"/>
    <w:rsid w:val="424CC6D5"/>
    <w:rsid w:val="4278800C"/>
    <w:rsid w:val="427B0888"/>
    <w:rsid w:val="42BE68BC"/>
    <w:rsid w:val="42EC59D8"/>
    <w:rsid w:val="430C031B"/>
    <w:rsid w:val="43914DCA"/>
    <w:rsid w:val="4402ADD2"/>
    <w:rsid w:val="4439F6BA"/>
    <w:rsid w:val="44544322"/>
    <w:rsid w:val="44810501"/>
    <w:rsid w:val="44C2192C"/>
    <w:rsid w:val="44DC51D8"/>
    <w:rsid w:val="44FA50B0"/>
    <w:rsid w:val="451390DC"/>
    <w:rsid w:val="45263357"/>
    <w:rsid w:val="4548622E"/>
    <w:rsid w:val="4559BF92"/>
    <w:rsid w:val="455BC726"/>
    <w:rsid w:val="456F030C"/>
    <w:rsid w:val="458250AB"/>
    <w:rsid w:val="46041C3B"/>
    <w:rsid w:val="4628281A"/>
    <w:rsid w:val="462F3F51"/>
    <w:rsid w:val="465227AC"/>
    <w:rsid w:val="4658A991"/>
    <w:rsid w:val="46631266"/>
    <w:rsid w:val="4684503B"/>
    <w:rsid w:val="469A68A5"/>
    <w:rsid w:val="46A1489F"/>
    <w:rsid w:val="46B9E7C7"/>
    <w:rsid w:val="46C41487"/>
    <w:rsid w:val="470686F7"/>
    <w:rsid w:val="47A113D9"/>
    <w:rsid w:val="47BB1C3E"/>
    <w:rsid w:val="47DF48C1"/>
    <w:rsid w:val="488C37F2"/>
    <w:rsid w:val="4890DBA7"/>
    <w:rsid w:val="48B68383"/>
    <w:rsid w:val="48BCBB82"/>
    <w:rsid w:val="49138FAE"/>
    <w:rsid w:val="49570389"/>
    <w:rsid w:val="4958862F"/>
    <w:rsid w:val="4972E688"/>
    <w:rsid w:val="4995D11A"/>
    <w:rsid w:val="49B4FE46"/>
    <w:rsid w:val="49C910F1"/>
    <w:rsid w:val="4AD74F01"/>
    <w:rsid w:val="4AE0B988"/>
    <w:rsid w:val="4B73C4A8"/>
    <w:rsid w:val="4BC00ADB"/>
    <w:rsid w:val="4BF50A22"/>
    <w:rsid w:val="4BF6F874"/>
    <w:rsid w:val="4C2C4986"/>
    <w:rsid w:val="4C432BEC"/>
    <w:rsid w:val="4C535231"/>
    <w:rsid w:val="4C5B6E2C"/>
    <w:rsid w:val="4CBE96E8"/>
    <w:rsid w:val="4D0E7558"/>
    <w:rsid w:val="4D0FB556"/>
    <w:rsid w:val="4D19D95F"/>
    <w:rsid w:val="4DA5DF2D"/>
    <w:rsid w:val="4DCA95EF"/>
    <w:rsid w:val="4DE21D4D"/>
    <w:rsid w:val="4DE5B223"/>
    <w:rsid w:val="4E5E3062"/>
    <w:rsid w:val="4EC2E325"/>
    <w:rsid w:val="4F048C88"/>
    <w:rsid w:val="4F140916"/>
    <w:rsid w:val="4F59C58F"/>
    <w:rsid w:val="4F7576F9"/>
    <w:rsid w:val="4F88EBA2"/>
    <w:rsid w:val="4FC15547"/>
    <w:rsid w:val="4FC282C2"/>
    <w:rsid w:val="503D83C5"/>
    <w:rsid w:val="5053684B"/>
    <w:rsid w:val="50AC317A"/>
    <w:rsid w:val="51835148"/>
    <w:rsid w:val="51A07CBF"/>
    <w:rsid w:val="51B2A84B"/>
    <w:rsid w:val="51E7AC7D"/>
    <w:rsid w:val="51EF57C1"/>
    <w:rsid w:val="529044FD"/>
    <w:rsid w:val="52BB0DF8"/>
    <w:rsid w:val="52EC3405"/>
    <w:rsid w:val="52FCDDD2"/>
    <w:rsid w:val="5306759E"/>
    <w:rsid w:val="5346AF25"/>
    <w:rsid w:val="536A6A9D"/>
    <w:rsid w:val="53B01E51"/>
    <w:rsid w:val="53F472A5"/>
    <w:rsid w:val="53FA0BDB"/>
    <w:rsid w:val="5434BA43"/>
    <w:rsid w:val="546BE234"/>
    <w:rsid w:val="546FB581"/>
    <w:rsid w:val="547E34E4"/>
    <w:rsid w:val="54B9CD06"/>
    <w:rsid w:val="54D5EC68"/>
    <w:rsid w:val="54E78563"/>
    <w:rsid w:val="551953C3"/>
    <w:rsid w:val="5520B6D1"/>
    <w:rsid w:val="553B829F"/>
    <w:rsid w:val="55738626"/>
    <w:rsid w:val="55774BB0"/>
    <w:rsid w:val="55837AF8"/>
    <w:rsid w:val="55CC5144"/>
    <w:rsid w:val="5614D662"/>
    <w:rsid w:val="562AAECF"/>
    <w:rsid w:val="564E8B37"/>
    <w:rsid w:val="566E44B0"/>
    <w:rsid w:val="56AA8555"/>
    <w:rsid w:val="56E386FD"/>
    <w:rsid w:val="56EAD7CD"/>
    <w:rsid w:val="5704C223"/>
    <w:rsid w:val="5705EDD8"/>
    <w:rsid w:val="573150FE"/>
    <w:rsid w:val="5733C648"/>
    <w:rsid w:val="57677E2F"/>
    <w:rsid w:val="57773FB5"/>
    <w:rsid w:val="5790F58C"/>
    <w:rsid w:val="5824BAD4"/>
    <w:rsid w:val="58937D3E"/>
    <w:rsid w:val="58A7581E"/>
    <w:rsid w:val="58DAD2C5"/>
    <w:rsid w:val="58F4A923"/>
    <w:rsid w:val="5910CC96"/>
    <w:rsid w:val="593305D6"/>
    <w:rsid w:val="5950DD32"/>
    <w:rsid w:val="59566134"/>
    <w:rsid w:val="5997323B"/>
    <w:rsid w:val="59AD83AE"/>
    <w:rsid w:val="59C11AF1"/>
    <w:rsid w:val="59DA531E"/>
    <w:rsid w:val="5A2530AF"/>
    <w:rsid w:val="5A5256F4"/>
    <w:rsid w:val="5A952B82"/>
    <w:rsid w:val="5AF2DBB6"/>
    <w:rsid w:val="5AFB4769"/>
    <w:rsid w:val="5B068995"/>
    <w:rsid w:val="5B5A38C4"/>
    <w:rsid w:val="5B5B38C4"/>
    <w:rsid w:val="5BC48CF0"/>
    <w:rsid w:val="5BC9425B"/>
    <w:rsid w:val="5BFE38D8"/>
    <w:rsid w:val="5C50B792"/>
    <w:rsid w:val="5C70017D"/>
    <w:rsid w:val="5D0E2109"/>
    <w:rsid w:val="5D3B2C96"/>
    <w:rsid w:val="5D6592AA"/>
    <w:rsid w:val="5D8DA284"/>
    <w:rsid w:val="5D9635E1"/>
    <w:rsid w:val="5DA563D2"/>
    <w:rsid w:val="5E2014F2"/>
    <w:rsid w:val="5E64BC26"/>
    <w:rsid w:val="5E8BFCE5"/>
    <w:rsid w:val="5EBC21EC"/>
    <w:rsid w:val="5ED70573"/>
    <w:rsid w:val="5F35B9F2"/>
    <w:rsid w:val="5F7AF49C"/>
    <w:rsid w:val="5FB09110"/>
    <w:rsid w:val="5FE9C440"/>
    <w:rsid w:val="5FEB8857"/>
    <w:rsid w:val="602E87A3"/>
    <w:rsid w:val="6075C2C6"/>
    <w:rsid w:val="60ADBDA3"/>
    <w:rsid w:val="6100E834"/>
    <w:rsid w:val="6130029C"/>
    <w:rsid w:val="61550256"/>
    <w:rsid w:val="619DF55F"/>
    <w:rsid w:val="61B5DCC2"/>
    <w:rsid w:val="61E35088"/>
    <w:rsid w:val="622E5367"/>
    <w:rsid w:val="626EAFF2"/>
    <w:rsid w:val="62D57C97"/>
    <w:rsid w:val="6319193B"/>
    <w:rsid w:val="631CBC68"/>
    <w:rsid w:val="634266F8"/>
    <w:rsid w:val="63582113"/>
    <w:rsid w:val="637C29C6"/>
    <w:rsid w:val="6387F029"/>
    <w:rsid w:val="63A1D5FA"/>
    <w:rsid w:val="6424A591"/>
    <w:rsid w:val="642DD0B5"/>
    <w:rsid w:val="6458893F"/>
    <w:rsid w:val="64963350"/>
    <w:rsid w:val="64A1B4BB"/>
    <w:rsid w:val="64D08277"/>
    <w:rsid w:val="6500CE27"/>
    <w:rsid w:val="6562C8B5"/>
    <w:rsid w:val="65A24738"/>
    <w:rsid w:val="65F47195"/>
    <w:rsid w:val="662E374B"/>
    <w:rsid w:val="669D43F0"/>
    <w:rsid w:val="66BFE377"/>
    <w:rsid w:val="66E2F4D3"/>
    <w:rsid w:val="66F1111A"/>
    <w:rsid w:val="66F875BE"/>
    <w:rsid w:val="6722D273"/>
    <w:rsid w:val="672DDD57"/>
    <w:rsid w:val="6739CE1D"/>
    <w:rsid w:val="674BC90D"/>
    <w:rsid w:val="674F8F63"/>
    <w:rsid w:val="676C0555"/>
    <w:rsid w:val="67B96E90"/>
    <w:rsid w:val="67D8407E"/>
    <w:rsid w:val="67EC8BAF"/>
    <w:rsid w:val="68587DA2"/>
    <w:rsid w:val="68804834"/>
    <w:rsid w:val="68A33965"/>
    <w:rsid w:val="68D1EE28"/>
    <w:rsid w:val="68DC8C6B"/>
    <w:rsid w:val="68DC8F66"/>
    <w:rsid w:val="68E35AE3"/>
    <w:rsid w:val="68E88441"/>
    <w:rsid w:val="6923A772"/>
    <w:rsid w:val="692B782A"/>
    <w:rsid w:val="698A7BA2"/>
    <w:rsid w:val="69A9844B"/>
    <w:rsid w:val="6A38F4D2"/>
    <w:rsid w:val="6A470827"/>
    <w:rsid w:val="6A526B0C"/>
    <w:rsid w:val="6A63C422"/>
    <w:rsid w:val="6A84EB25"/>
    <w:rsid w:val="6AD7472D"/>
    <w:rsid w:val="6B2EF84D"/>
    <w:rsid w:val="6B7CD994"/>
    <w:rsid w:val="6BC540CC"/>
    <w:rsid w:val="6BCB832B"/>
    <w:rsid w:val="6BDDA607"/>
    <w:rsid w:val="6C13D07C"/>
    <w:rsid w:val="6C460055"/>
    <w:rsid w:val="6C46B0AB"/>
    <w:rsid w:val="6C5EAA2E"/>
    <w:rsid w:val="6C7B15A2"/>
    <w:rsid w:val="6C94D641"/>
    <w:rsid w:val="6C9F698D"/>
    <w:rsid w:val="6CC06CB0"/>
    <w:rsid w:val="6CE69921"/>
    <w:rsid w:val="6D26AFD1"/>
    <w:rsid w:val="6D97961B"/>
    <w:rsid w:val="6DB9C896"/>
    <w:rsid w:val="6E108D81"/>
    <w:rsid w:val="6E1623FA"/>
    <w:rsid w:val="6E54809C"/>
    <w:rsid w:val="6E7F9773"/>
    <w:rsid w:val="6EB00831"/>
    <w:rsid w:val="6EB47F4A"/>
    <w:rsid w:val="6EE88E8B"/>
    <w:rsid w:val="6EECB81D"/>
    <w:rsid w:val="6F10018A"/>
    <w:rsid w:val="6F5A66A2"/>
    <w:rsid w:val="6F73487E"/>
    <w:rsid w:val="6F83F568"/>
    <w:rsid w:val="6FB55F40"/>
    <w:rsid w:val="6FC99296"/>
    <w:rsid w:val="6FE3A315"/>
    <w:rsid w:val="6FFEDF23"/>
    <w:rsid w:val="7006039D"/>
    <w:rsid w:val="700C97FC"/>
    <w:rsid w:val="705856A5"/>
    <w:rsid w:val="70604091"/>
    <w:rsid w:val="70738E15"/>
    <w:rsid w:val="7086E6EB"/>
    <w:rsid w:val="7087CE1C"/>
    <w:rsid w:val="70CF2B2C"/>
    <w:rsid w:val="70E09499"/>
    <w:rsid w:val="716696AC"/>
    <w:rsid w:val="71A23DDB"/>
    <w:rsid w:val="71D1F798"/>
    <w:rsid w:val="7201BCDB"/>
    <w:rsid w:val="7249B859"/>
    <w:rsid w:val="726A57DE"/>
    <w:rsid w:val="729B26F2"/>
    <w:rsid w:val="72BF1916"/>
    <w:rsid w:val="72D1D947"/>
    <w:rsid w:val="73108412"/>
    <w:rsid w:val="73306AE3"/>
    <w:rsid w:val="734FAC3B"/>
    <w:rsid w:val="73898DCE"/>
    <w:rsid w:val="738D9D6C"/>
    <w:rsid w:val="73976CDB"/>
    <w:rsid w:val="73A51109"/>
    <w:rsid w:val="7409CDEB"/>
    <w:rsid w:val="7412F47B"/>
    <w:rsid w:val="742BFA57"/>
    <w:rsid w:val="7431CCE0"/>
    <w:rsid w:val="7445AF1A"/>
    <w:rsid w:val="758F021E"/>
    <w:rsid w:val="761AA4D5"/>
    <w:rsid w:val="76CF9DC0"/>
    <w:rsid w:val="76E0BBF7"/>
    <w:rsid w:val="76F30FF9"/>
    <w:rsid w:val="772893A4"/>
    <w:rsid w:val="77436D46"/>
    <w:rsid w:val="77933B28"/>
    <w:rsid w:val="77BC0EA5"/>
    <w:rsid w:val="77BFEF76"/>
    <w:rsid w:val="77EB8AC7"/>
    <w:rsid w:val="77EC023A"/>
    <w:rsid w:val="77FAE932"/>
    <w:rsid w:val="78264911"/>
    <w:rsid w:val="7864C8AC"/>
    <w:rsid w:val="7867EBB8"/>
    <w:rsid w:val="787AF129"/>
    <w:rsid w:val="78912C43"/>
    <w:rsid w:val="78A42B29"/>
    <w:rsid w:val="78A550BF"/>
    <w:rsid w:val="78F10C01"/>
    <w:rsid w:val="7912F849"/>
    <w:rsid w:val="7A19CE1C"/>
    <w:rsid w:val="7A6DCED5"/>
    <w:rsid w:val="7AAA62FF"/>
    <w:rsid w:val="7AABE0F0"/>
    <w:rsid w:val="7ADD3309"/>
    <w:rsid w:val="7AE5ACF3"/>
    <w:rsid w:val="7B75B1F1"/>
    <w:rsid w:val="7B93236B"/>
    <w:rsid w:val="7BDD0548"/>
    <w:rsid w:val="7BE1C45A"/>
    <w:rsid w:val="7C2AE91A"/>
    <w:rsid w:val="7C4A9D81"/>
    <w:rsid w:val="7D20A92C"/>
    <w:rsid w:val="7D238F91"/>
    <w:rsid w:val="7D259943"/>
    <w:rsid w:val="7D415679"/>
    <w:rsid w:val="7D5323D7"/>
    <w:rsid w:val="7DAA0EB7"/>
    <w:rsid w:val="7DB3309C"/>
    <w:rsid w:val="7DFA2A2A"/>
    <w:rsid w:val="7DFABD42"/>
    <w:rsid w:val="7E190C0A"/>
    <w:rsid w:val="7E3E9D25"/>
    <w:rsid w:val="7E68E1A1"/>
    <w:rsid w:val="7E73DA5D"/>
    <w:rsid w:val="7E7BC9C2"/>
    <w:rsid w:val="7E9E6857"/>
    <w:rsid w:val="7ED25C03"/>
    <w:rsid w:val="7EE65974"/>
    <w:rsid w:val="7F226DC1"/>
    <w:rsid w:val="7F6E991D"/>
    <w:rsid w:val="7F724723"/>
    <w:rsid w:val="7F776324"/>
    <w:rsid w:val="7F8638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34A42"/>
  <w15:chartTrackingRefBased/>
  <w15:docId w15:val="{21A3523F-BA71-4065-8844-DA046D347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62C57"/>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7AA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E46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E468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qFormat/>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customStyle="1" w:styleId="footnotedescription">
    <w:name w:val="footnote description"/>
    <w:next w:val="Normal"/>
    <w:link w:val="footnotedescriptionChar"/>
    <w:hidden/>
    <w:rsid w:val="008F525A"/>
    <w:pPr>
      <w:spacing w:after="1"/>
      <w:ind w:left="1"/>
    </w:pPr>
    <w:rPr>
      <w:rFonts w:ascii="Calibri" w:eastAsia="Calibri" w:hAnsi="Calibri" w:cs="Calibri"/>
      <w:color w:val="467885"/>
      <w:kern w:val="2"/>
      <w:sz w:val="18"/>
      <w:szCs w:val="24"/>
      <w:u w:val="single" w:color="467885"/>
      <w:lang w:eastAsia="en-AU"/>
      <w14:ligatures w14:val="standardContextual"/>
    </w:rPr>
  </w:style>
  <w:style w:type="character" w:customStyle="1" w:styleId="footnotedescriptionChar">
    <w:name w:val="footnote description Char"/>
    <w:link w:val="footnotedescription"/>
    <w:rsid w:val="008F525A"/>
    <w:rPr>
      <w:rFonts w:ascii="Calibri" w:eastAsia="Calibri" w:hAnsi="Calibri" w:cs="Calibri"/>
      <w:color w:val="467885"/>
      <w:kern w:val="2"/>
      <w:sz w:val="18"/>
      <w:szCs w:val="24"/>
      <w:u w:val="single" w:color="467885"/>
      <w:lang w:eastAsia="en-AU"/>
      <w14:ligatures w14:val="standardContextual"/>
    </w:rPr>
  </w:style>
  <w:style w:type="character" w:customStyle="1" w:styleId="footnotemark">
    <w:name w:val="footnote mark"/>
    <w:hidden/>
    <w:rsid w:val="008F525A"/>
    <w:rPr>
      <w:rFonts w:ascii="Calibri" w:eastAsia="Calibri" w:hAnsi="Calibri" w:cs="Calibri"/>
      <w:color w:val="000000"/>
      <w:sz w:val="18"/>
      <w:vertAlign w:val="superscript"/>
    </w:rPr>
  </w:style>
  <w:style w:type="character" w:styleId="CommentReference">
    <w:name w:val="annotation reference"/>
    <w:basedOn w:val="DefaultParagraphFont"/>
    <w:uiPriority w:val="99"/>
    <w:semiHidden/>
    <w:unhideWhenUsed/>
    <w:rsid w:val="00D8458D"/>
    <w:rPr>
      <w:sz w:val="16"/>
      <w:szCs w:val="16"/>
    </w:rPr>
  </w:style>
  <w:style w:type="paragraph" w:styleId="CommentText">
    <w:name w:val="annotation text"/>
    <w:basedOn w:val="Normal"/>
    <w:link w:val="CommentTextChar"/>
    <w:uiPriority w:val="99"/>
    <w:unhideWhenUsed/>
    <w:rsid w:val="00D8458D"/>
    <w:pPr>
      <w:spacing w:line="240" w:lineRule="auto"/>
    </w:pPr>
    <w:rPr>
      <w:sz w:val="20"/>
      <w:szCs w:val="20"/>
    </w:rPr>
  </w:style>
  <w:style w:type="character" w:customStyle="1" w:styleId="CommentTextChar">
    <w:name w:val="Comment Text Char"/>
    <w:basedOn w:val="DefaultParagraphFont"/>
    <w:link w:val="CommentText"/>
    <w:uiPriority w:val="99"/>
    <w:rsid w:val="00D8458D"/>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D8458D"/>
    <w:rPr>
      <w:b/>
      <w:bCs/>
    </w:rPr>
  </w:style>
  <w:style w:type="character" w:customStyle="1" w:styleId="CommentSubjectChar">
    <w:name w:val="Comment Subject Char"/>
    <w:basedOn w:val="CommentTextChar"/>
    <w:link w:val="CommentSubject"/>
    <w:uiPriority w:val="99"/>
    <w:semiHidden/>
    <w:rsid w:val="00D8458D"/>
    <w:rPr>
      <w:rFonts w:ascii="Myriad Pro Light" w:hAnsi="Myriad Pro Light"/>
      <w:b/>
      <w:bCs/>
      <w:sz w:val="20"/>
      <w:szCs w:val="20"/>
    </w:rPr>
  </w:style>
  <w:style w:type="character" w:styleId="Mention">
    <w:name w:val="Mention"/>
    <w:basedOn w:val="DefaultParagraphFont"/>
    <w:uiPriority w:val="99"/>
    <w:unhideWhenUsed/>
    <w:rsid w:val="00587A77"/>
    <w:rPr>
      <w:color w:val="2B579A"/>
      <w:shd w:val="clear" w:color="auto" w:fill="E1DFDD"/>
    </w:rPr>
  </w:style>
  <w:style w:type="paragraph" w:styleId="Revision">
    <w:name w:val="Revision"/>
    <w:hidden/>
    <w:uiPriority w:val="99"/>
    <w:semiHidden/>
    <w:rsid w:val="0024581D"/>
    <w:pPr>
      <w:spacing w:after="0" w:line="240" w:lineRule="auto"/>
    </w:pPr>
    <w:rPr>
      <w:rFonts w:ascii="Myriad Pro Light" w:hAnsi="Myriad Pro Light"/>
    </w:rPr>
  </w:style>
  <w:style w:type="table" w:styleId="TableGrid">
    <w:name w:val="Table Grid"/>
    <w:basedOn w:val="TableNormal"/>
    <w:uiPriority w:val="39"/>
    <w:rsid w:val="00787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C7AA4"/>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FC1D4C"/>
    <w:rPr>
      <w:rFonts w:ascii="Times New Roman" w:hAnsi="Times New Roman" w:cs="Times New Roman"/>
      <w:sz w:val="24"/>
      <w:szCs w:val="24"/>
    </w:rPr>
  </w:style>
  <w:style w:type="paragraph" w:styleId="TOC2">
    <w:name w:val="toc 2"/>
    <w:basedOn w:val="Normal"/>
    <w:next w:val="Normal"/>
    <w:autoRedefine/>
    <w:uiPriority w:val="39"/>
    <w:unhideWhenUsed/>
    <w:rsid w:val="00050482"/>
    <w:pPr>
      <w:tabs>
        <w:tab w:val="right" w:leader="dot" w:pos="9016"/>
      </w:tabs>
      <w:spacing w:after="100" w:line="276" w:lineRule="auto"/>
    </w:pPr>
  </w:style>
  <w:style w:type="character" w:customStyle="1" w:styleId="fadeinm1hgl8">
    <w:name w:val="_fadein_m1hgl_8"/>
    <w:basedOn w:val="DefaultParagraphFont"/>
    <w:rsid w:val="00067BCF"/>
  </w:style>
  <w:style w:type="character" w:customStyle="1" w:styleId="Heading5Char">
    <w:name w:val="Heading 5 Char"/>
    <w:basedOn w:val="DefaultParagraphFont"/>
    <w:link w:val="Heading5"/>
    <w:uiPriority w:val="9"/>
    <w:semiHidden/>
    <w:rsid w:val="002E468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E468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1897">
      <w:bodyDiv w:val="1"/>
      <w:marLeft w:val="0"/>
      <w:marRight w:val="0"/>
      <w:marTop w:val="0"/>
      <w:marBottom w:val="0"/>
      <w:divBdr>
        <w:top w:val="none" w:sz="0" w:space="0" w:color="auto"/>
        <w:left w:val="none" w:sz="0" w:space="0" w:color="auto"/>
        <w:bottom w:val="none" w:sz="0" w:space="0" w:color="auto"/>
        <w:right w:val="none" w:sz="0" w:space="0" w:color="auto"/>
      </w:divBdr>
    </w:div>
    <w:div w:id="24137435">
      <w:bodyDiv w:val="1"/>
      <w:marLeft w:val="0"/>
      <w:marRight w:val="0"/>
      <w:marTop w:val="0"/>
      <w:marBottom w:val="0"/>
      <w:divBdr>
        <w:top w:val="none" w:sz="0" w:space="0" w:color="auto"/>
        <w:left w:val="none" w:sz="0" w:space="0" w:color="auto"/>
        <w:bottom w:val="none" w:sz="0" w:space="0" w:color="auto"/>
        <w:right w:val="none" w:sz="0" w:space="0" w:color="auto"/>
      </w:divBdr>
    </w:div>
    <w:div w:id="40179473">
      <w:bodyDiv w:val="1"/>
      <w:marLeft w:val="0"/>
      <w:marRight w:val="0"/>
      <w:marTop w:val="0"/>
      <w:marBottom w:val="0"/>
      <w:divBdr>
        <w:top w:val="none" w:sz="0" w:space="0" w:color="auto"/>
        <w:left w:val="none" w:sz="0" w:space="0" w:color="auto"/>
        <w:bottom w:val="none" w:sz="0" w:space="0" w:color="auto"/>
        <w:right w:val="none" w:sz="0" w:space="0" w:color="auto"/>
      </w:divBdr>
    </w:div>
    <w:div w:id="48186358">
      <w:bodyDiv w:val="1"/>
      <w:marLeft w:val="0"/>
      <w:marRight w:val="0"/>
      <w:marTop w:val="0"/>
      <w:marBottom w:val="0"/>
      <w:divBdr>
        <w:top w:val="none" w:sz="0" w:space="0" w:color="auto"/>
        <w:left w:val="none" w:sz="0" w:space="0" w:color="auto"/>
        <w:bottom w:val="none" w:sz="0" w:space="0" w:color="auto"/>
        <w:right w:val="none" w:sz="0" w:space="0" w:color="auto"/>
      </w:divBdr>
    </w:div>
    <w:div w:id="51538238">
      <w:bodyDiv w:val="1"/>
      <w:marLeft w:val="0"/>
      <w:marRight w:val="0"/>
      <w:marTop w:val="0"/>
      <w:marBottom w:val="0"/>
      <w:divBdr>
        <w:top w:val="none" w:sz="0" w:space="0" w:color="auto"/>
        <w:left w:val="none" w:sz="0" w:space="0" w:color="auto"/>
        <w:bottom w:val="none" w:sz="0" w:space="0" w:color="auto"/>
        <w:right w:val="none" w:sz="0" w:space="0" w:color="auto"/>
      </w:divBdr>
    </w:div>
    <w:div w:id="60518519">
      <w:bodyDiv w:val="1"/>
      <w:marLeft w:val="0"/>
      <w:marRight w:val="0"/>
      <w:marTop w:val="0"/>
      <w:marBottom w:val="0"/>
      <w:divBdr>
        <w:top w:val="none" w:sz="0" w:space="0" w:color="auto"/>
        <w:left w:val="none" w:sz="0" w:space="0" w:color="auto"/>
        <w:bottom w:val="none" w:sz="0" w:space="0" w:color="auto"/>
        <w:right w:val="none" w:sz="0" w:space="0" w:color="auto"/>
      </w:divBdr>
    </w:div>
    <w:div w:id="72896997">
      <w:bodyDiv w:val="1"/>
      <w:marLeft w:val="0"/>
      <w:marRight w:val="0"/>
      <w:marTop w:val="0"/>
      <w:marBottom w:val="0"/>
      <w:divBdr>
        <w:top w:val="none" w:sz="0" w:space="0" w:color="auto"/>
        <w:left w:val="none" w:sz="0" w:space="0" w:color="auto"/>
        <w:bottom w:val="none" w:sz="0" w:space="0" w:color="auto"/>
        <w:right w:val="none" w:sz="0" w:space="0" w:color="auto"/>
      </w:divBdr>
    </w:div>
    <w:div w:id="126316704">
      <w:bodyDiv w:val="1"/>
      <w:marLeft w:val="0"/>
      <w:marRight w:val="0"/>
      <w:marTop w:val="0"/>
      <w:marBottom w:val="0"/>
      <w:divBdr>
        <w:top w:val="none" w:sz="0" w:space="0" w:color="auto"/>
        <w:left w:val="none" w:sz="0" w:space="0" w:color="auto"/>
        <w:bottom w:val="none" w:sz="0" w:space="0" w:color="auto"/>
        <w:right w:val="none" w:sz="0" w:space="0" w:color="auto"/>
      </w:divBdr>
    </w:div>
    <w:div w:id="131025878">
      <w:bodyDiv w:val="1"/>
      <w:marLeft w:val="0"/>
      <w:marRight w:val="0"/>
      <w:marTop w:val="0"/>
      <w:marBottom w:val="0"/>
      <w:divBdr>
        <w:top w:val="none" w:sz="0" w:space="0" w:color="auto"/>
        <w:left w:val="none" w:sz="0" w:space="0" w:color="auto"/>
        <w:bottom w:val="none" w:sz="0" w:space="0" w:color="auto"/>
        <w:right w:val="none" w:sz="0" w:space="0" w:color="auto"/>
      </w:divBdr>
    </w:div>
    <w:div w:id="188876059">
      <w:bodyDiv w:val="1"/>
      <w:marLeft w:val="0"/>
      <w:marRight w:val="0"/>
      <w:marTop w:val="0"/>
      <w:marBottom w:val="0"/>
      <w:divBdr>
        <w:top w:val="none" w:sz="0" w:space="0" w:color="auto"/>
        <w:left w:val="none" w:sz="0" w:space="0" w:color="auto"/>
        <w:bottom w:val="none" w:sz="0" w:space="0" w:color="auto"/>
        <w:right w:val="none" w:sz="0" w:space="0" w:color="auto"/>
      </w:divBdr>
    </w:div>
    <w:div w:id="191309497">
      <w:bodyDiv w:val="1"/>
      <w:marLeft w:val="0"/>
      <w:marRight w:val="0"/>
      <w:marTop w:val="0"/>
      <w:marBottom w:val="0"/>
      <w:divBdr>
        <w:top w:val="none" w:sz="0" w:space="0" w:color="auto"/>
        <w:left w:val="none" w:sz="0" w:space="0" w:color="auto"/>
        <w:bottom w:val="none" w:sz="0" w:space="0" w:color="auto"/>
        <w:right w:val="none" w:sz="0" w:space="0" w:color="auto"/>
      </w:divBdr>
    </w:div>
    <w:div w:id="215245801">
      <w:bodyDiv w:val="1"/>
      <w:marLeft w:val="0"/>
      <w:marRight w:val="0"/>
      <w:marTop w:val="0"/>
      <w:marBottom w:val="0"/>
      <w:divBdr>
        <w:top w:val="none" w:sz="0" w:space="0" w:color="auto"/>
        <w:left w:val="none" w:sz="0" w:space="0" w:color="auto"/>
        <w:bottom w:val="none" w:sz="0" w:space="0" w:color="auto"/>
        <w:right w:val="none" w:sz="0" w:space="0" w:color="auto"/>
      </w:divBdr>
    </w:div>
    <w:div w:id="230235467">
      <w:bodyDiv w:val="1"/>
      <w:marLeft w:val="0"/>
      <w:marRight w:val="0"/>
      <w:marTop w:val="0"/>
      <w:marBottom w:val="0"/>
      <w:divBdr>
        <w:top w:val="none" w:sz="0" w:space="0" w:color="auto"/>
        <w:left w:val="none" w:sz="0" w:space="0" w:color="auto"/>
        <w:bottom w:val="none" w:sz="0" w:space="0" w:color="auto"/>
        <w:right w:val="none" w:sz="0" w:space="0" w:color="auto"/>
      </w:divBdr>
    </w:div>
    <w:div w:id="232276016">
      <w:bodyDiv w:val="1"/>
      <w:marLeft w:val="0"/>
      <w:marRight w:val="0"/>
      <w:marTop w:val="0"/>
      <w:marBottom w:val="0"/>
      <w:divBdr>
        <w:top w:val="none" w:sz="0" w:space="0" w:color="auto"/>
        <w:left w:val="none" w:sz="0" w:space="0" w:color="auto"/>
        <w:bottom w:val="none" w:sz="0" w:space="0" w:color="auto"/>
        <w:right w:val="none" w:sz="0" w:space="0" w:color="auto"/>
      </w:divBdr>
    </w:div>
    <w:div w:id="251940542">
      <w:bodyDiv w:val="1"/>
      <w:marLeft w:val="0"/>
      <w:marRight w:val="0"/>
      <w:marTop w:val="0"/>
      <w:marBottom w:val="0"/>
      <w:divBdr>
        <w:top w:val="none" w:sz="0" w:space="0" w:color="auto"/>
        <w:left w:val="none" w:sz="0" w:space="0" w:color="auto"/>
        <w:bottom w:val="none" w:sz="0" w:space="0" w:color="auto"/>
        <w:right w:val="none" w:sz="0" w:space="0" w:color="auto"/>
      </w:divBdr>
    </w:div>
    <w:div w:id="326131017">
      <w:bodyDiv w:val="1"/>
      <w:marLeft w:val="0"/>
      <w:marRight w:val="0"/>
      <w:marTop w:val="0"/>
      <w:marBottom w:val="0"/>
      <w:divBdr>
        <w:top w:val="none" w:sz="0" w:space="0" w:color="auto"/>
        <w:left w:val="none" w:sz="0" w:space="0" w:color="auto"/>
        <w:bottom w:val="none" w:sz="0" w:space="0" w:color="auto"/>
        <w:right w:val="none" w:sz="0" w:space="0" w:color="auto"/>
      </w:divBdr>
    </w:div>
    <w:div w:id="373358802">
      <w:bodyDiv w:val="1"/>
      <w:marLeft w:val="0"/>
      <w:marRight w:val="0"/>
      <w:marTop w:val="0"/>
      <w:marBottom w:val="0"/>
      <w:divBdr>
        <w:top w:val="none" w:sz="0" w:space="0" w:color="auto"/>
        <w:left w:val="none" w:sz="0" w:space="0" w:color="auto"/>
        <w:bottom w:val="none" w:sz="0" w:space="0" w:color="auto"/>
        <w:right w:val="none" w:sz="0" w:space="0" w:color="auto"/>
      </w:divBdr>
    </w:div>
    <w:div w:id="387917193">
      <w:bodyDiv w:val="1"/>
      <w:marLeft w:val="0"/>
      <w:marRight w:val="0"/>
      <w:marTop w:val="0"/>
      <w:marBottom w:val="0"/>
      <w:divBdr>
        <w:top w:val="none" w:sz="0" w:space="0" w:color="auto"/>
        <w:left w:val="none" w:sz="0" w:space="0" w:color="auto"/>
        <w:bottom w:val="none" w:sz="0" w:space="0" w:color="auto"/>
        <w:right w:val="none" w:sz="0" w:space="0" w:color="auto"/>
      </w:divBdr>
    </w:div>
    <w:div w:id="388042339">
      <w:bodyDiv w:val="1"/>
      <w:marLeft w:val="0"/>
      <w:marRight w:val="0"/>
      <w:marTop w:val="0"/>
      <w:marBottom w:val="0"/>
      <w:divBdr>
        <w:top w:val="none" w:sz="0" w:space="0" w:color="auto"/>
        <w:left w:val="none" w:sz="0" w:space="0" w:color="auto"/>
        <w:bottom w:val="none" w:sz="0" w:space="0" w:color="auto"/>
        <w:right w:val="none" w:sz="0" w:space="0" w:color="auto"/>
      </w:divBdr>
    </w:div>
    <w:div w:id="388385953">
      <w:bodyDiv w:val="1"/>
      <w:marLeft w:val="0"/>
      <w:marRight w:val="0"/>
      <w:marTop w:val="0"/>
      <w:marBottom w:val="0"/>
      <w:divBdr>
        <w:top w:val="none" w:sz="0" w:space="0" w:color="auto"/>
        <w:left w:val="none" w:sz="0" w:space="0" w:color="auto"/>
        <w:bottom w:val="none" w:sz="0" w:space="0" w:color="auto"/>
        <w:right w:val="none" w:sz="0" w:space="0" w:color="auto"/>
      </w:divBdr>
    </w:div>
    <w:div w:id="400636144">
      <w:bodyDiv w:val="1"/>
      <w:marLeft w:val="0"/>
      <w:marRight w:val="0"/>
      <w:marTop w:val="0"/>
      <w:marBottom w:val="0"/>
      <w:divBdr>
        <w:top w:val="none" w:sz="0" w:space="0" w:color="auto"/>
        <w:left w:val="none" w:sz="0" w:space="0" w:color="auto"/>
        <w:bottom w:val="none" w:sz="0" w:space="0" w:color="auto"/>
        <w:right w:val="none" w:sz="0" w:space="0" w:color="auto"/>
      </w:divBdr>
    </w:div>
    <w:div w:id="418213101">
      <w:bodyDiv w:val="1"/>
      <w:marLeft w:val="0"/>
      <w:marRight w:val="0"/>
      <w:marTop w:val="0"/>
      <w:marBottom w:val="0"/>
      <w:divBdr>
        <w:top w:val="none" w:sz="0" w:space="0" w:color="auto"/>
        <w:left w:val="none" w:sz="0" w:space="0" w:color="auto"/>
        <w:bottom w:val="none" w:sz="0" w:space="0" w:color="auto"/>
        <w:right w:val="none" w:sz="0" w:space="0" w:color="auto"/>
      </w:divBdr>
    </w:div>
    <w:div w:id="443114503">
      <w:bodyDiv w:val="1"/>
      <w:marLeft w:val="0"/>
      <w:marRight w:val="0"/>
      <w:marTop w:val="0"/>
      <w:marBottom w:val="0"/>
      <w:divBdr>
        <w:top w:val="none" w:sz="0" w:space="0" w:color="auto"/>
        <w:left w:val="none" w:sz="0" w:space="0" w:color="auto"/>
        <w:bottom w:val="none" w:sz="0" w:space="0" w:color="auto"/>
        <w:right w:val="none" w:sz="0" w:space="0" w:color="auto"/>
      </w:divBdr>
    </w:div>
    <w:div w:id="467943853">
      <w:bodyDiv w:val="1"/>
      <w:marLeft w:val="0"/>
      <w:marRight w:val="0"/>
      <w:marTop w:val="0"/>
      <w:marBottom w:val="0"/>
      <w:divBdr>
        <w:top w:val="none" w:sz="0" w:space="0" w:color="auto"/>
        <w:left w:val="none" w:sz="0" w:space="0" w:color="auto"/>
        <w:bottom w:val="none" w:sz="0" w:space="0" w:color="auto"/>
        <w:right w:val="none" w:sz="0" w:space="0" w:color="auto"/>
      </w:divBdr>
    </w:div>
    <w:div w:id="486898980">
      <w:bodyDiv w:val="1"/>
      <w:marLeft w:val="0"/>
      <w:marRight w:val="0"/>
      <w:marTop w:val="0"/>
      <w:marBottom w:val="0"/>
      <w:divBdr>
        <w:top w:val="none" w:sz="0" w:space="0" w:color="auto"/>
        <w:left w:val="none" w:sz="0" w:space="0" w:color="auto"/>
        <w:bottom w:val="none" w:sz="0" w:space="0" w:color="auto"/>
        <w:right w:val="none" w:sz="0" w:space="0" w:color="auto"/>
      </w:divBdr>
    </w:div>
    <w:div w:id="489323960">
      <w:bodyDiv w:val="1"/>
      <w:marLeft w:val="0"/>
      <w:marRight w:val="0"/>
      <w:marTop w:val="0"/>
      <w:marBottom w:val="0"/>
      <w:divBdr>
        <w:top w:val="none" w:sz="0" w:space="0" w:color="auto"/>
        <w:left w:val="none" w:sz="0" w:space="0" w:color="auto"/>
        <w:bottom w:val="none" w:sz="0" w:space="0" w:color="auto"/>
        <w:right w:val="none" w:sz="0" w:space="0" w:color="auto"/>
      </w:divBdr>
    </w:div>
    <w:div w:id="495152862">
      <w:bodyDiv w:val="1"/>
      <w:marLeft w:val="0"/>
      <w:marRight w:val="0"/>
      <w:marTop w:val="0"/>
      <w:marBottom w:val="0"/>
      <w:divBdr>
        <w:top w:val="none" w:sz="0" w:space="0" w:color="auto"/>
        <w:left w:val="none" w:sz="0" w:space="0" w:color="auto"/>
        <w:bottom w:val="none" w:sz="0" w:space="0" w:color="auto"/>
        <w:right w:val="none" w:sz="0" w:space="0" w:color="auto"/>
      </w:divBdr>
    </w:div>
    <w:div w:id="495339633">
      <w:bodyDiv w:val="1"/>
      <w:marLeft w:val="0"/>
      <w:marRight w:val="0"/>
      <w:marTop w:val="0"/>
      <w:marBottom w:val="0"/>
      <w:divBdr>
        <w:top w:val="none" w:sz="0" w:space="0" w:color="auto"/>
        <w:left w:val="none" w:sz="0" w:space="0" w:color="auto"/>
        <w:bottom w:val="none" w:sz="0" w:space="0" w:color="auto"/>
        <w:right w:val="none" w:sz="0" w:space="0" w:color="auto"/>
      </w:divBdr>
    </w:div>
    <w:div w:id="510339525">
      <w:bodyDiv w:val="1"/>
      <w:marLeft w:val="0"/>
      <w:marRight w:val="0"/>
      <w:marTop w:val="0"/>
      <w:marBottom w:val="0"/>
      <w:divBdr>
        <w:top w:val="none" w:sz="0" w:space="0" w:color="auto"/>
        <w:left w:val="none" w:sz="0" w:space="0" w:color="auto"/>
        <w:bottom w:val="none" w:sz="0" w:space="0" w:color="auto"/>
        <w:right w:val="none" w:sz="0" w:space="0" w:color="auto"/>
      </w:divBdr>
    </w:div>
    <w:div w:id="511996933">
      <w:bodyDiv w:val="1"/>
      <w:marLeft w:val="0"/>
      <w:marRight w:val="0"/>
      <w:marTop w:val="0"/>
      <w:marBottom w:val="0"/>
      <w:divBdr>
        <w:top w:val="none" w:sz="0" w:space="0" w:color="auto"/>
        <w:left w:val="none" w:sz="0" w:space="0" w:color="auto"/>
        <w:bottom w:val="none" w:sz="0" w:space="0" w:color="auto"/>
        <w:right w:val="none" w:sz="0" w:space="0" w:color="auto"/>
      </w:divBdr>
    </w:div>
    <w:div w:id="521434894">
      <w:bodyDiv w:val="1"/>
      <w:marLeft w:val="0"/>
      <w:marRight w:val="0"/>
      <w:marTop w:val="0"/>
      <w:marBottom w:val="0"/>
      <w:divBdr>
        <w:top w:val="none" w:sz="0" w:space="0" w:color="auto"/>
        <w:left w:val="none" w:sz="0" w:space="0" w:color="auto"/>
        <w:bottom w:val="none" w:sz="0" w:space="0" w:color="auto"/>
        <w:right w:val="none" w:sz="0" w:space="0" w:color="auto"/>
      </w:divBdr>
    </w:div>
    <w:div w:id="621301398">
      <w:bodyDiv w:val="1"/>
      <w:marLeft w:val="0"/>
      <w:marRight w:val="0"/>
      <w:marTop w:val="0"/>
      <w:marBottom w:val="0"/>
      <w:divBdr>
        <w:top w:val="none" w:sz="0" w:space="0" w:color="auto"/>
        <w:left w:val="none" w:sz="0" w:space="0" w:color="auto"/>
        <w:bottom w:val="none" w:sz="0" w:space="0" w:color="auto"/>
        <w:right w:val="none" w:sz="0" w:space="0" w:color="auto"/>
      </w:divBdr>
    </w:div>
    <w:div w:id="684404221">
      <w:bodyDiv w:val="1"/>
      <w:marLeft w:val="0"/>
      <w:marRight w:val="0"/>
      <w:marTop w:val="0"/>
      <w:marBottom w:val="0"/>
      <w:divBdr>
        <w:top w:val="none" w:sz="0" w:space="0" w:color="auto"/>
        <w:left w:val="none" w:sz="0" w:space="0" w:color="auto"/>
        <w:bottom w:val="none" w:sz="0" w:space="0" w:color="auto"/>
        <w:right w:val="none" w:sz="0" w:space="0" w:color="auto"/>
      </w:divBdr>
    </w:div>
    <w:div w:id="688215795">
      <w:bodyDiv w:val="1"/>
      <w:marLeft w:val="0"/>
      <w:marRight w:val="0"/>
      <w:marTop w:val="0"/>
      <w:marBottom w:val="0"/>
      <w:divBdr>
        <w:top w:val="none" w:sz="0" w:space="0" w:color="auto"/>
        <w:left w:val="none" w:sz="0" w:space="0" w:color="auto"/>
        <w:bottom w:val="none" w:sz="0" w:space="0" w:color="auto"/>
        <w:right w:val="none" w:sz="0" w:space="0" w:color="auto"/>
      </w:divBdr>
    </w:div>
    <w:div w:id="694891225">
      <w:bodyDiv w:val="1"/>
      <w:marLeft w:val="0"/>
      <w:marRight w:val="0"/>
      <w:marTop w:val="0"/>
      <w:marBottom w:val="0"/>
      <w:divBdr>
        <w:top w:val="none" w:sz="0" w:space="0" w:color="auto"/>
        <w:left w:val="none" w:sz="0" w:space="0" w:color="auto"/>
        <w:bottom w:val="none" w:sz="0" w:space="0" w:color="auto"/>
        <w:right w:val="none" w:sz="0" w:space="0" w:color="auto"/>
      </w:divBdr>
    </w:div>
    <w:div w:id="695813386">
      <w:bodyDiv w:val="1"/>
      <w:marLeft w:val="0"/>
      <w:marRight w:val="0"/>
      <w:marTop w:val="0"/>
      <w:marBottom w:val="0"/>
      <w:divBdr>
        <w:top w:val="none" w:sz="0" w:space="0" w:color="auto"/>
        <w:left w:val="none" w:sz="0" w:space="0" w:color="auto"/>
        <w:bottom w:val="none" w:sz="0" w:space="0" w:color="auto"/>
        <w:right w:val="none" w:sz="0" w:space="0" w:color="auto"/>
      </w:divBdr>
    </w:div>
    <w:div w:id="706805806">
      <w:bodyDiv w:val="1"/>
      <w:marLeft w:val="0"/>
      <w:marRight w:val="0"/>
      <w:marTop w:val="0"/>
      <w:marBottom w:val="0"/>
      <w:divBdr>
        <w:top w:val="none" w:sz="0" w:space="0" w:color="auto"/>
        <w:left w:val="none" w:sz="0" w:space="0" w:color="auto"/>
        <w:bottom w:val="none" w:sz="0" w:space="0" w:color="auto"/>
        <w:right w:val="none" w:sz="0" w:space="0" w:color="auto"/>
      </w:divBdr>
    </w:div>
    <w:div w:id="731538655">
      <w:bodyDiv w:val="1"/>
      <w:marLeft w:val="0"/>
      <w:marRight w:val="0"/>
      <w:marTop w:val="0"/>
      <w:marBottom w:val="0"/>
      <w:divBdr>
        <w:top w:val="none" w:sz="0" w:space="0" w:color="auto"/>
        <w:left w:val="none" w:sz="0" w:space="0" w:color="auto"/>
        <w:bottom w:val="none" w:sz="0" w:space="0" w:color="auto"/>
        <w:right w:val="none" w:sz="0" w:space="0" w:color="auto"/>
      </w:divBdr>
    </w:div>
    <w:div w:id="750590555">
      <w:bodyDiv w:val="1"/>
      <w:marLeft w:val="0"/>
      <w:marRight w:val="0"/>
      <w:marTop w:val="0"/>
      <w:marBottom w:val="0"/>
      <w:divBdr>
        <w:top w:val="none" w:sz="0" w:space="0" w:color="auto"/>
        <w:left w:val="none" w:sz="0" w:space="0" w:color="auto"/>
        <w:bottom w:val="none" w:sz="0" w:space="0" w:color="auto"/>
        <w:right w:val="none" w:sz="0" w:space="0" w:color="auto"/>
      </w:divBdr>
      <w:divsChild>
        <w:div w:id="797992618">
          <w:marLeft w:val="0"/>
          <w:marRight w:val="0"/>
          <w:marTop w:val="0"/>
          <w:marBottom w:val="0"/>
          <w:divBdr>
            <w:top w:val="none" w:sz="0" w:space="0" w:color="auto"/>
            <w:left w:val="none" w:sz="0" w:space="0" w:color="auto"/>
            <w:bottom w:val="none" w:sz="0" w:space="0" w:color="auto"/>
            <w:right w:val="none" w:sz="0" w:space="0" w:color="auto"/>
          </w:divBdr>
          <w:divsChild>
            <w:div w:id="460921335">
              <w:marLeft w:val="0"/>
              <w:marRight w:val="0"/>
              <w:marTop w:val="0"/>
              <w:marBottom w:val="0"/>
              <w:divBdr>
                <w:top w:val="none" w:sz="0" w:space="0" w:color="auto"/>
                <w:left w:val="none" w:sz="0" w:space="0" w:color="auto"/>
                <w:bottom w:val="none" w:sz="0" w:space="0" w:color="auto"/>
                <w:right w:val="none" w:sz="0" w:space="0" w:color="auto"/>
              </w:divBdr>
              <w:divsChild>
                <w:div w:id="1325816302">
                  <w:marLeft w:val="0"/>
                  <w:marRight w:val="0"/>
                  <w:marTop w:val="0"/>
                  <w:marBottom w:val="0"/>
                  <w:divBdr>
                    <w:top w:val="none" w:sz="0" w:space="0" w:color="auto"/>
                    <w:left w:val="none" w:sz="0" w:space="0" w:color="auto"/>
                    <w:bottom w:val="none" w:sz="0" w:space="0" w:color="auto"/>
                    <w:right w:val="none" w:sz="0" w:space="0" w:color="auto"/>
                  </w:divBdr>
                  <w:divsChild>
                    <w:div w:id="1209680419">
                      <w:marLeft w:val="0"/>
                      <w:marRight w:val="0"/>
                      <w:marTop w:val="0"/>
                      <w:marBottom w:val="0"/>
                      <w:divBdr>
                        <w:top w:val="none" w:sz="0" w:space="0" w:color="auto"/>
                        <w:left w:val="none" w:sz="0" w:space="0" w:color="auto"/>
                        <w:bottom w:val="none" w:sz="0" w:space="0" w:color="auto"/>
                        <w:right w:val="none" w:sz="0" w:space="0" w:color="auto"/>
                      </w:divBdr>
                      <w:divsChild>
                        <w:div w:id="1041170998">
                          <w:marLeft w:val="0"/>
                          <w:marRight w:val="0"/>
                          <w:marTop w:val="0"/>
                          <w:marBottom w:val="0"/>
                          <w:divBdr>
                            <w:top w:val="none" w:sz="0" w:space="0" w:color="auto"/>
                            <w:left w:val="none" w:sz="0" w:space="0" w:color="auto"/>
                            <w:bottom w:val="none" w:sz="0" w:space="0" w:color="auto"/>
                            <w:right w:val="none" w:sz="0" w:space="0" w:color="auto"/>
                          </w:divBdr>
                          <w:divsChild>
                            <w:div w:id="592712940">
                              <w:marLeft w:val="0"/>
                              <w:marRight w:val="0"/>
                              <w:marTop w:val="0"/>
                              <w:marBottom w:val="0"/>
                              <w:divBdr>
                                <w:top w:val="none" w:sz="0" w:space="0" w:color="auto"/>
                                <w:left w:val="none" w:sz="0" w:space="0" w:color="auto"/>
                                <w:bottom w:val="none" w:sz="0" w:space="0" w:color="auto"/>
                                <w:right w:val="none" w:sz="0" w:space="0" w:color="auto"/>
                              </w:divBdr>
                              <w:divsChild>
                                <w:div w:id="113644359">
                                  <w:marLeft w:val="0"/>
                                  <w:marRight w:val="0"/>
                                  <w:marTop w:val="0"/>
                                  <w:marBottom w:val="0"/>
                                  <w:divBdr>
                                    <w:top w:val="none" w:sz="0" w:space="0" w:color="auto"/>
                                    <w:left w:val="none" w:sz="0" w:space="0" w:color="auto"/>
                                    <w:bottom w:val="none" w:sz="0" w:space="0" w:color="auto"/>
                                    <w:right w:val="none" w:sz="0" w:space="0" w:color="auto"/>
                                  </w:divBdr>
                                  <w:divsChild>
                                    <w:div w:id="1666393588">
                                      <w:marLeft w:val="0"/>
                                      <w:marRight w:val="0"/>
                                      <w:marTop w:val="0"/>
                                      <w:marBottom w:val="0"/>
                                      <w:divBdr>
                                        <w:top w:val="none" w:sz="0" w:space="0" w:color="auto"/>
                                        <w:left w:val="none" w:sz="0" w:space="0" w:color="auto"/>
                                        <w:bottom w:val="none" w:sz="0" w:space="0" w:color="auto"/>
                                        <w:right w:val="none" w:sz="0" w:space="0" w:color="auto"/>
                                      </w:divBdr>
                                      <w:divsChild>
                                        <w:div w:id="12244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348133">
          <w:marLeft w:val="0"/>
          <w:marRight w:val="0"/>
          <w:marTop w:val="0"/>
          <w:marBottom w:val="0"/>
          <w:divBdr>
            <w:top w:val="none" w:sz="0" w:space="0" w:color="auto"/>
            <w:left w:val="none" w:sz="0" w:space="0" w:color="auto"/>
            <w:bottom w:val="none" w:sz="0" w:space="0" w:color="auto"/>
            <w:right w:val="none" w:sz="0" w:space="0" w:color="auto"/>
          </w:divBdr>
          <w:divsChild>
            <w:div w:id="777414611">
              <w:marLeft w:val="0"/>
              <w:marRight w:val="0"/>
              <w:marTop w:val="0"/>
              <w:marBottom w:val="0"/>
              <w:divBdr>
                <w:top w:val="none" w:sz="0" w:space="0" w:color="auto"/>
                <w:left w:val="none" w:sz="0" w:space="0" w:color="auto"/>
                <w:bottom w:val="none" w:sz="0" w:space="0" w:color="auto"/>
                <w:right w:val="none" w:sz="0" w:space="0" w:color="auto"/>
              </w:divBdr>
              <w:divsChild>
                <w:div w:id="1599407199">
                  <w:marLeft w:val="0"/>
                  <w:marRight w:val="0"/>
                  <w:marTop w:val="0"/>
                  <w:marBottom w:val="0"/>
                  <w:divBdr>
                    <w:top w:val="none" w:sz="0" w:space="0" w:color="auto"/>
                    <w:left w:val="none" w:sz="0" w:space="0" w:color="auto"/>
                    <w:bottom w:val="none" w:sz="0" w:space="0" w:color="auto"/>
                    <w:right w:val="none" w:sz="0" w:space="0" w:color="auto"/>
                  </w:divBdr>
                  <w:divsChild>
                    <w:div w:id="1811903278">
                      <w:marLeft w:val="0"/>
                      <w:marRight w:val="0"/>
                      <w:marTop w:val="0"/>
                      <w:marBottom w:val="0"/>
                      <w:divBdr>
                        <w:top w:val="none" w:sz="0" w:space="0" w:color="auto"/>
                        <w:left w:val="none" w:sz="0" w:space="0" w:color="auto"/>
                        <w:bottom w:val="none" w:sz="0" w:space="0" w:color="auto"/>
                        <w:right w:val="none" w:sz="0" w:space="0" w:color="auto"/>
                      </w:divBdr>
                      <w:divsChild>
                        <w:div w:id="327942941">
                          <w:marLeft w:val="0"/>
                          <w:marRight w:val="0"/>
                          <w:marTop w:val="0"/>
                          <w:marBottom w:val="0"/>
                          <w:divBdr>
                            <w:top w:val="none" w:sz="0" w:space="0" w:color="auto"/>
                            <w:left w:val="none" w:sz="0" w:space="0" w:color="auto"/>
                            <w:bottom w:val="none" w:sz="0" w:space="0" w:color="auto"/>
                            <w:right w:val="none" w:sz="0" w:space="0" w:color="auto"/>
                          </w:divBdr>
                          <w:divsChild>
                            <w:div w:id="2038457748">
                              <w:marLeft w:val="0"/>
                              <w:marRight w:val="0"/>
                              <w:marTop w:val="0"/>
                              <w:marBottom w:val="0"/>
                              <w:divBdr>
                                <w:top w:val="none" w:sz="0" w:space="0" w:color="auto"/>
                                <w:left w:val="none" w:sz="0" w:space="0" w:color="auto"/>
                                <w:bottom w:val="none" w:sz="0" w:space="0" w:color="auto"/>
                                <w:right w:val="none" w:sz="0" w:space="0" w:color="auto"/>
                              </w:divBdr>
                              <w:divsChild>
                                <w:div w:id="16423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20372">
                          <w:marLeft w:val="0"/>
                          <w:marRight w:val="0"/>
                          <w:marTop w:val="0"/>
                          <w:marBottom w:val="0"/>
                          <w:divBdr>
                            <w:top w:val="none" w:sz="0" w:space="0" w:color="auto"/>
                            <w:left w:val="none" w:sz="0" w:space="0" w:color="auto"/>
                            <w:bottom w:val="none" w:sz="0" w:space="0" w:color="auto"/>
                            <w:right w:val="none" w:sz="0" w:space="0" w:color="auto"/>
                          </w:divBdr>
                          <w:divsChild>
                            <w:div w:id="37168523">
                              <w:marLeft w:val="0"/>
                              <w:marRight w:val="0"/>
                              <w:marTop w:val="0"/>
                              <w:marBottom w:val="0"/>
                              <w:divBdr>
                                <w:top w:val="none" w:sz="0" w:space="0" w:color="auto"/>
                                <w:left w:val="none" w:sz="0" w:space="0" w:color="auto"/>
                                <w:bottom w:val="none" w:sz="0" w:space="0" w:color="auto"/>
                                <w:right w:val="none" w:sz="0" w:space="0" w:color="auto"/>
                              </w:divBdr>
                              <w:divsChild>
                                <w:div w:id="1472671167">
                                  <w:marLeft w:val="0"/>
                                  <w:marRight w:val="0"/>
                                  <w:marTop w:val="0"/>
                                  <w:marBottom w:val="0"/>
                                  <w:divBdr>
                                    <w:top w:val="none" w:sz="0" w:space="0" w:color="auto"/>
                                    <w:left w:val="none" w:sz="0" w:space="0" w:color="auto"/>
                                    <w:bottom w:val="none" w:sz="0" w:space="0" w:color="auto"/>
                                    <w:right w:val="none" w:sz="0" w:space="0" w:color="auto"/>
                                  </w:divBdr>
                                  <w:divsChild>
                                    <w:div w:id="734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863372">
          <w:marLeft w:val="0"/>
          <w:marRight w:val="0"/>
          <w:marTop w:val="0"/>
          <w:marBottom w:val="0"/>
          <w:divBdr>
            <w:top w:val="none" w:sz="0" w:space="0" w:color="auto"/>
            <w:left w:val="none" w:sz="0" w:space="0" w:color="auto"/>
            <w:bottom w:val="none" w:sz="0" w:space="0" w:color="auto"/>
            <w:right w:val="none" w:sz="0" w:space="0" w:color="auto"/>
          </w:divBdr>
          <w:divsChild>
            <w:div w:id="1373075064">
              <w:marLeft w:val="0"/>
              <w:marRight w:val="0"/>
              <w:marTop w:val="0"/>
              <w:marBottom w:val="0"/>
              <w:divBdr>
                <w:top w:val="none" w:sz="0" w:space="0" w:color="auto"/>
                <w:left w:val="none" w:sz="0" w:space="0" w:color="auto"/>
                <w:bottom w:val="none" w:sz="0" w:space="0" w:color="auto"/>
                <w:right w:val="none" w:sz="0" w:space="0" w:color="auto"/>
              </w:divBdr>
              <w:divsChild>
                <w:div w:id="1504854042">
                  <w:marLeft w:val="0"/>
                  <w:marRight w:val="0"/>
                  <w:marTop w:val="0"/>
                  <w:marBottom w:val="0"/>
                  <w:divBdr>
                    <w:top w:val="none" w:sz="0" w:space="0" w:color="auto"/>
                    <w:left w:val="none" w:sz="0" w:space="0" w:color="auto"/>
                    <w:bottom w:val="none" w:sz="0" w:space="0" w:color="auto"/>
                    <w:right w:val="none" w:sz="0" w:space="0" w:color="auto"/>
                  </w:divBdr>
                  <w:divsChild>
                    <w:div w:id="1281255303">
                      <w:marLeft w:val="0"/>
                      <w:marRight w:val="0"/>
                      <w:marTop w:val="0"/>
                      <w:marBottom w:val="0"/>
                      <w:divBdr>
                        <w:top w:val="none" w:sz="0" w:space="0" w:color="auto"/>
                        <w:left w:val="none" w:sz="0" w:space="0" w:color="auto"/>
                        <w:bottom w:val="none" w:sz="0" w:space="0" w:color="auto"/>
                        <w:right w:val="none" w:sz="0" w:space="0" w:color="auto"/>
                      </w:divBdr>
                      <w:divsChild>
                        <w:div w:id="1120798856">
                          <w:marLeft w:val="0"/>
                          <w:marRight w:val="0"/>
                          <w:marTop w:val="0"/>
                          <w:marBottom w:val="0"/>
                          <w:divBdr>
                            <w:top w:val="none" w:sz="0" w:space="0" w:color="auto"/>
                            <w:left w:val="none" w:sz="0" w:space="0" w:color="auto"/>
                            <w:bottom w:val="none" w:sz="0" w:space="0" w:color="auto"/>
                            <w:right w:val="none" w:sz="0" w:space="0" w:color="auto"/>
                          </w:divBdr>
                          <w:divsChild>
                            <w:div w:id="1185947709">
                              <w:marLeft w:val="0"/>
                              <w:marRight w:val="0"/>
                              <w:marTop w:val="0"/>
                              <w:marBottom w:val="0"/>
                              <w:divBdr>
                                <w:top w:val="none" w:sz="0" w:space="0" w:color="auto"/>
                                <w:left w:val="none" w:sz="0" w:space="0" w:color="auto"/>
                                <w:bottom w:val="none" w:sz="0" w:space="0" w:color="auto"/>
                                <w:right w:val="none" w:sz="0" w:space="0" w:color="auto"/>
                              </w:divBdr>
                              <w:divsChild>
                                <w:div w:id="1433668220">
                                  <w:marLeft w:val="0"/>
                                  <w:marRight w:val="0"/>
                                  <w:marTop w:val="0"/>
                                  <w:marBottom w:val="0"/>
                                  <w:divBdr>
                                    <w:top w:val="none" w:sz="0" w:space="0" w:color="auto"/>
                                    <w:left w:val="none" w:sz="0" w:space="0" w:color="auto"/>
                                    <w:bottom w:val="none" w:sz="0" w:space="0" w:color="auto"/>
                                    <w:right w:val="none" w:sz="0" w:space="0" w:color="auto"/>
                                  </w:divBdr>
                                  <w:divsChild>
                                    <w:div w:id="7799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015">
      <w:bodyDiv w:val="1"/>
      <w:marLeft w:val="0"/>
      <w:marRight w:val="0"/>
      <w:marTop w:val="0"/>
      <w:marBottom w:val="0"/>
      <w:divBdr>
        <w:top w:val="none" w:sz="0" w:space="0" w:color="auto"/>
        <w:left w:val="none" w:sz="0" w:space="0" w:color="auto"/>
        <w:bottom w:val="none" w:sz="0" w:space="0" w:color="auto"/>
        <w:right w:val="none" w:sz="0" w:space="0" w:color="auto"/>
      </w:divBdr>
    </w:div>
    <w:div w:id="792090193">
      <w:bodyDiv w:val="1"/>
      <w:marLeft w:val="0"/>
      <w:marRight w:val="0"/>
      <w:marTop w:val="0"/>
      <w:marBottom w:val="0"/>
      <w:divBdr>
        <w:top w:val="none" w:sz="0" w:space="0" w:color="auto"/>
        <w:left w:val="none" w:sz="0" w:space="0" w:color="auto"/>
        <w:bottom w:val="none" w:sz="0" w:space="0" w:color="auto"/>
        <w:right w:val="none" w:sz="0" w:space="0" w:color="auto"/>
      </w:divBdr>
    </w:div>
    <w:div w:id="792406557">
      <w:bodyDiv w:val="1"/>
      <w:marLeft w:val="0"/>
      <w:marRight w:val="0"/>
      <w:marTop w:val="0"/>
      <w:marBottom w:val="0"/>
      <w:divBdr>
        <w:top w:val="none" w:sz="0" w:space="0" w:color="auto"/>
        <w:left w:val="none" w:sz="0" w:space="0" w:color="auto"/>
        <w:bottom w:val="none" w:sz="0" w:space="0" w:color="auto"/>
        <w:right w:val="none" w:sz="0" w:space="0" w:color="auto"/>
      </w:divBdr>
    </w:div>
    <w:div w:id="809592263">
      <w:bodyDiv w:val="1"/>
      <w:marLeft w:val="0"/>
      <w:marRight w:val="0"/>
      <w:marTop w:val="0"/>
      <w:marBottom w:val="0"/>
      <w:divBdr>
        <w:top w:val="none" w:sz="0" w:space="0" w:color="auto"/>
        <w:left w:val="none" w:sz="0" w:space="0" w:color="auto"/>
        <w:bottom w:val="none" w:sz="0" w:space="0" w:color="auto"/>
        <w:right w:val="none" w:sz="0" w:space="0" w:color="auto"/>
      </w:divBdr>
    </w:div>
    <w:div w:id="809713434">
      <w:bodyDiv w:val="1"/>
      <w:marLeft w:val="0"/>
      <w:marRight w:val="0"/>
      <w:marTop w:val="0"/>
      <w:marBottom w:val="0"/>
      <w:divBdr>
        <w:top w:val="none" w:sz="0" w:space="0" w:color="auto"/>
        <w:left w:val="none" w:sz="0" w:space="0" w:color="auto"/>
        <w:bottom w:val="none" w:sz="0" w:space="0" w:color="auto"/>
        <w:right w:val="none" w:sz="0" w:space="0" w:color="auto"/>
      </w:divBdr>
    </w:div>
    <w:div w:id="848562044">
      <w:bodyDiv w:val="1"/>
      <w:marLeft w:val="0"/>
      <w:marRight w:val="0"/>
      <w:marTop w:val="0"/>
      <w:marBottom w:val="0"/>
      <w:divBdr>
        <w:top w:val="none" w:sz="0" w:space="0" w:color="auto"/>
        <w:left w:val="none" w:sz="0" w:space="0" w:color="auto"/>
        <w:bottom w:val="none" w:sz="0" w:space="0" w:color="auto"/>
        <w:right w:val="none" w:sz="0" w:space="0" w:color="auto"/>
      </w:divBdr>
    </w:div>
    <w:div w:id="849105687">
      <w:bodyDiv w:val="1"/>
      <w:marLeft w:val="0"/>
      <w:marRight w:val="0"/>
      <w:marTop w:val="0"/>
      <w:marBottom w:val="0"/>
      <w:divBdr>
        <w:top w:val="none" w:sz="0" w:space="0" w:color="auto"/>
        <w:left w:val="none" w:sz="0" w:space="0" w:color="auto"/>
        <w:bottom w:val="none" w:sz="0" w:space="0" w:color="auto"/>
        <w:right w:val="none" w:sz="0" w:space="0" w:color="auto"/>
      </w:divBdr>
    </w:div>
    <w:div w:id="870915740">
      <w:bodyDiv w:val="1"/>
      <w:marLeft w:val="0"/>
      <w:marRight w:val="0"/>
      <w:marTop w:val="0"/>
      <w:marBottom w:val="0"/>
      <w:divBdr>
        <w:top w:val="none" w:sz="0" w:space="0" w:color="auto"/>
        <w:left w:val="none" w:sz="0" w:space="0" w:color="auto"/>
        <w:bottom w:val="none" w:sz="0" w:space="0" w:color="auto"/>
        <w:right w:val="none" w:sz="0" w:space="0" w:color="auto"/>
      </w:divBdr>
    </w:div>
    <w:div w:id="888880468">
      <w:bodyDiv w:val="1"/>
      <w:marLeft w:val="0"/>
      <w:marRight w:val="0"/>
      <w:marTop w:val="0"/>
      <w:marBottom w:val="0"/>
      <w:divBdr>
        <w:top w:val="none" w:sz="0" w:space="0" w:color="auto"/>
        <w:left w:val="none" w:sz="0" w:space="0" w:color="auto"/>
        <w:bottom w:val="none" w:sz="0" w:space="0" w:color="auto"/>
        <w:right w:val="none" w:sz="0" w:space="0" w:color="auto"/>
      </w:divBdr>
    </w:div>
    <w:div w:id="892472493">
      <w:bodyDiv w:val="1"/>
      <w:marLeft w:val="0"/>
      <w:marRight w:val="0"/>
      <w:marTop w:val="0"/>
      <w:marBottom w:val="0"/>
      <w:divBdr>
        <w:top w:val="none" w:sz="0" w:space="0" w:color="auto"/>
        <w:left w:val="none" w:sz="0" w:space="0" w:color="auto"/>
        <w:bottom w:val="none" w:sz="0" w:space="0" w:color="auto"/>
        <w:right w:val="none" w:sz="0" w:space="0" w:color="auto"/>
      </w:divBdr>
    </w:div>
    <w:div w:id="909466343">
      <w:bodyDiv w:val="1"/>
      <w:marLeft w:val="0"/>
      <w:marRight w:val="0"/>
      <w:marTop w:val="0"/>
      <w:marBottom w:val="0"/>
      <w:divBdr>
        <w:top w:val="none" w:sz="0" w:space="0" w:color="auto"/>
        <w:left w:val="none" w:sz="0" w:space="0" w:color="auto"/>
        <w:bottom w:val="none" w:sz="0" w:space="0" w:color="auto"/>
        <w:right w:val="none" w:sz="0" w:space="0" w:color="auto"/>
      </w:divBdr>
    </w:div>
    <w:div w:id="912619019">
      <w:bodyDiv w:val="1"/>
      <w:marLeft w:val="0"/>
      <w:marRight w:val="0"/>
      <w:marTop w:val="0"/>
      <w:marBottom w:val="0"/>
      <w:divBdr>
        <w:top w:val="none" w:sz="0" w:space="0" w:color="auto"/>
        <w:left w:val="none" w:sz="0" w:space="0" w:color="auto"/>
        <w:bottom w:val="none" w:sz="0" w:space="0" w:color="auto"/>
        <w:right w:val="none" w:sz="0" w:space="0" w:color="auto"/>
      </w:divBdr>
    </w:div>
    <w:div w:id="948926932">
      <w:bodyDiv w:val="1"/>
      <w:marLeft w:val="0"/>
      <w:marRight w:val="0"/>
      <w:marTop w:val="0"/>
      <w:marBottom w:val="0"/>
      <w:divBdr>
        <w:top w:val="none" w:sz="0" w:space="0" w:color="auto"/>
        <w:left w:val="none" w:sz="0" w:space="0" w:color="auto"/>
        <w:bottom w:val="none" w:sz="0" w:space="0" w:color="auto"/>
        <w:right w:val="none" w:sz="0" w:space="0" w:color="auto"/>
      </w:divBdr>
      <w:divsChild>
        <w:div w:id="184046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41043">
      <w:bodyDiv w:val="1"/>
      <w:marLeft w:val="0"/>
      <w:marRight w:val="0"/>
      <w:marTop w:val="0"/>
      <w:marBottom w:val="0"/>
      <w:divBdr>
        <w:top w:val="none" w:sz="0" w:space="0" w:color="auto"/>
        <w:left w:val="none" w:sz="0" w:space="0" w:color="auto"/>
        <w:bottom w:val="none" w:sz="0" w:space="0" w:color="auto"/>
        <w:right w:val="none" w:sz="0" w:space="0" w:color="auto"/>
      </w:divBdr>
    </w:div>
    <w:div w:id="973094679">
      <w:bodyDiv w:val="1"/>
      <w:marLeft w:val="0"/>
      <w:marRight w:val="0"/>
      <w:marTop w:val="0"/>
      <w:marBottom w:val="0"/>
      <w:divBdr>
        <w:top w:val="none" w:sz="0" w:space="0" w:color="auto"/>
        <w:left w:val="none" w:sz="0" w:space="0" w:color="auto"/>
        <w:bottom w:val="none" w:sz="0" w:space="0" w:color="auto"/>
        <w:right w:val="none" w:sz="0" w:space="0" w:color="auto"/>
      </w:divBdr>
    </w:div>
    <w:div w:id="974482734">
      <w:bodyDiv w:val="1"/>
      <w:marLeft w:val="0"/>
      <w:marRight w:val="0"/>
      <w:marTop w:val="0"/>
      <w:marBottom w:val="0"/>
      <w:divBdr>
        <w:top w:val="none" w:sz="0" w:space="0" w:color="auto"/>
        <w:left w:val="none" w:sz="0" w:space="0" w:color="auto"/>
        <w:bottom w:val="none" w:sz="0" w:space="0" w:color="auto"/>
        <w:right w:val="none" w:sz="0" w:space="0" w:color="auto"/>
      </w:divBdr>
    </w:div>
    <w:div w:id="984630070">
      <w:bodyDiv w:val="1"/>
      <w:marLeft w:val="0"/>
      <w:marRight w:val="0"/>
      <w:marTop w:val="0"/>
      <w:marBottom w:val="0"/>
      <w:divBdr>
        <w:top w:val="none" w:sz="0" w:space="0" w:color="auto"/>
        <w:left w:val="none" w:sz="0" w:space="0" w:color="auto"/>
        <w:bottom w:val="none" w:sz="0" w:space="0" w:color="auto"/>
        <w:right w:val="none" w:sz="0" w:space="0" w:color="auto"/>
      </w:divBdr>
    </w:div>
    <w:div w:id="1037586946">
      <w:bodyDiv w:val="1"/>
      <w:marLeft w:val="0"/>
      <w:marRight w:val="0"/>
      <w:marTop w:val="0"/>
      <w:marBottom w:val="0"/>
      <w:divBdr>
        <w:top w:val="none" w:sz="0" w:space="0" w:color="auto"/>
        <w:left w:val="none" w:sz="0" w:space="0" w:color="auto"/>
        <w:bottom w:val="none" w:sz="0" w:space="0" w:color="auto"/>
        <w:right w:val="none" w:sz="0" w:space="0" w:color="auto"/>
      </w:divBdr>
      <w:divsChild>
        <w:div w:id="1097598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0961209">
      <w:bodyDiv w:val="1"/>
      <w:marLeft w:val="0"/>
      <w:marRight w:val="0"/>
      <w:marTop w:val="0"/>
      <w:marBottom w:val="0"/>
      <w:divBdr>
        <w:top w:val="none" w:sz="0" w:space="0" w:color="auto"/>
        <w:left w:val="none" w:sz="0" w:space="0" w:color="auto"/>
        <w:bottom w:val="none" w:sz="0" w:space="0" w:color="auto"/>
        <w:right w:val="none" w:sz="0" w:space="0" w:color="auto"/>
      </w:divBdr>
    </w:div>
    <w:div w:id="1058549083">
      <w:bodyDiv w:val="1"/>
      <w:marLeft w:val="0"/>
      <w:marRight w:val="0"/>
      <w:marTop w:val="0"/>
      <w:marBottom w:val="0"/>
      <w:divBdr>
        <w:top w:val="none" w:sz="0" w:space="0" w:color="auto"/>
        <w:left w:val="none" w:sz="0" w:space="0" w:color="auto"/>
        <w:bottom w:val="none" w:sz="0" w:space="0" w:color="auto"/>
        <w:right w:val="none" w:sz="0" w:space="0" w:color="auto"/>
      </w:divBdr>
    </w:div>
    <w:div w:id="1090810706">
      <w:bodyDiv w:val="1"/>
      <w:marLeft w:val="0"/>
      <w:marRight w:val="0"/>
      <w:marTop w:val="0"/>
      <w:marBottom w:val="0"/>
      <w:divBdr>
        <w:top w:val="none" w:sz="0" w:space="0" w:color="auto"/>
        <w:left w:val="none" w:sz="0" w:space="0" w:color="auto"/>
        <w:bottom w:val="none" w:sz="0" w:space="0" w:color="auto"/>
        <w:right w:val="none" w:sz="0" w:space="0" w:color="auto"/>
      </w:divBdr>
    </w:div>
    <w:div w:id="1110786094">
      <w:bodyDiv w:val="1"/>
      <w:marLeft w:val="0"/>
      <w:marRight w:val="0"/>
      <w:marTop w:val="0"/>
      <w:marBottom w:val="0"/>
      <w:divBdr>
        <w:top w:val="none" w:sz="0" w:space="0" w:color="auto"/>
        <w:left w:val="none" w:sz="0" w:space="0" w:color="auto"/>
        <w:bottom w:val="none" w:sz="0" w:space="0" w:color="auto"/>
        <w:right w:val="none" w:sz="0" w:space="0" w:color="auto"/>
      </w:divBdr>
    </w:div>
    <w:div w:id="1127312162">
      <w:bodyDiv w:val="1"/>
      <w:marLeft w:val="0"/>
      <w:marRight w:val="0"/>
      <w:marTop w:val="0"/>
      <w:marBottom w:val="0"/>
      <w:divBdr>
        <w:top w:val="none" w:sz="0" w:space="0" w:color="auto"/>
        <w:left w:val="none" w:sz="0" w:space="0" w:color="auto"/>
        <w:bottom w:val="none" w:sz="0" w:space="0" w:color="auto"/>
        <w:right w:val="none" w:sz="0" w:space="0" w:color="auto"/>
      </w:divBdr>
    </w:div>
    <w:div w:id="1144470974">
      <w:bodyDiv w:val="1"/>
      <w:marLeft w:val="0"/>
      <w:marRight w:val="0"/>
      <w:marTop w:val="0"/>
      <w:marBottom w:val="0"/>
      <w:divBdr>
        <w:top w:val="none" w:sz="0" w:space="0" w:color="auto"/>
        <w:left w:val="none" w:sz="0" w:space="0" w:color="auto"/>
        <w:bottom w:val="none" w:sz="0" w:space="0" w:color="auto"/>
        <w:right w:val="none" w:sz="0" w:space="0" w:color="auto"/>
      </w:divBdr>
    </w:div>
    <w:div w:id="1182552063">
      <w:bodyDiv w:val="1"/>
      <w:marLeft w:val="0"/>
      <w:marRight w:val="0"/>
      <w:marTop w:val="0"/>
      <w:marBottom w:val="0"/>
      <w:divBdr>
        <w:top w:val="none" w:sz="0" w:space="0" w:color="auto"/>
        <w:left w:val="none" w:sz="0" w:space="0" w:color="auto"/>
        <w:bottom w:val="none" w:sz="0" w:space="0" w:color="auto"/>
        <w:right w:val="none" w:sz="0" w:space="0" w:color="auto"/>
      </w:divBdr>
    </w:div>
    <w:div w:id="1200632031">
      <w:bodyDiv w:val="1"/>
      <w:marLeft w:val="0"/>
      <w:marRight w:val="0"/>
      <w:marTop w:val="0"/>
      <w:marBottom w:val="0"/>
      <w:divBdr>
        <w:top w:val="none" w:sz="0" w:space="0" w:color="auto"/>
        <w:left w:val="none" w:sz="0" w:space="0" w:color="auto"/>
        <w:bottom w:val="none" w:sz="0" w:space="0" w:color="auto"/>
        <w:right w:val="none" w:sz="0" w:space="0" w:color="auto"/>
      </w:divBdr>
    </w:div>
    <w:div w:id="1218974031">
      <w:bodyDiv w:val="1"/>
      <w:marLeft w:val="0"/>
      <w:marRight w:val="0"/>
      <w:marTop w:val="0"/>
      <w:marBottom w:val="0"/>
      <w:divBdr>
        <w:top w:val="none" w:sz="0" w:space="0" w:color="auto"/>
        <w:left w:val="none" w:sz="0" w:space="0" w:color="auto"/>
        <w:bottom w:val="none" w:sz="0" w:space="0" w:color="auto"/>
        <w:right w:val="none" w:sz="0" w:space="0" w:color="auto"/>
      </w:divBdr>
    </w:div>
    <w:div w:id="1231845008">
      <w:bodyDiv w:val="1"/>
      <w:marLeft w:val="0"/>
      <w:marRight w:val="0"/>
      <w:marTop w:val="0"/>
      <w:marBottom w:val="0"/>
      <w:divBdr>
        <w:top w:val="none" w:sz="0" w:space="0" w:color="auto"/>
        <w:left w:val="none" w:sz="0" w:space="0" w:color="auto"/>
        <w:bottom w:val="none" w:sz="0" w:space="0" w:color="auto"/>
        <w:right w:val="none" w:sz="0" w:space="0" w:color="auto"/>
      </w:divBdr>
    </w:div>
    <w:div w:id="1233201765">
      <w:bodyDiv w:val="1"/>
      <w:marLeft w:val="0"/>
      <w:marRight w:val="0"/>
      <w:marTop w:val="0"/>
      <w:marBottom w:val="0"/>
      <w:divBdr>
        <w:top w:val="none" w:sz="0" w:space="0" w:color="auto"/>
        <w:left w:val="none" w:sz="0" w:space="0" w:color="auto"/>
        <w:bottom w:val="none" w:sz="0" w:space="0" w:color="auto"/>
        <w:right w:val="none" w:sz="0" w:space="0" w:color="auto"/>
      </w:divBdr>
    </w:div>
    <w:div w:id="1254826650">
      <w:bodyDiv w:val="1"/>
      <w:marLeft w:val="0"/>
      <w:marRight w:val="0"/>
      <w:marTop w:val="0"/>
      <w:marBottom w:val="0"/>
      <w:divBdr>
        <w:top w:val="none" w:sz="0" w:space="0" w:color="auto"/>
        <w:left w:val="none" w:sz="0" w:space="0" w:color="auto"/>
        <w:bottom w:val="none" w:sz="0" w:space="0" w:color="auto"/>
        <w:right w:val="none" w:sz="0" w:space="0" w:color="auto"/>
      </w:divBdr>
    </w:div>
    <w:div w:id="1286426113">
      <w:bodyDiv w:val="1"/>
      <w:marLeft w:val="0"/>
      <w:marRight w:val="0"/>
      <w:marTop w:val="0"/>
      <w:marBottom w:val="0"/>
      <w:divBdr>
        <w:top w:val="none" w:sz="0" w:space="0" w:color="auto"/>
        <w:left w:val="none" w:sz="0" w:space="0" w:color="auto"/>
        <w:bottom w:val="none" w:sz="0" w:space="0" w:color="auto"/>
        <w:right w:val="none" w:sz="0" w:space="0" w:color="auto"/>
      </w:divBdr>
    </w:div>
    <w:div w:id="1296637923">
      <w:bodyDiv w:val="1"/>
      <w:marLeft w:val="0"/>
      <w:marRight w:val="0"/>
      <w:marTop w:val="0"/>
      <w:marBottom w:val="0"/>
      <w:divBdr>
        <w:top w:val="none" w:sz="0" w:space="0" w:color="auto"/>
        <w:left w:val="none" w:sz="0" w:space="0" w:color="auto"/>
        <w:bottom w:val="none" w:sz="0" w:space="0" w:color="auto"/>
        <w:right w:val="none" w:sz="0" w:space="0" w:color="auto"/>
      </w:divBdr>
    </w:div>
    <w:div w:id="1302149142">
      <w:bodyDiv w:val="1"/>
      <w:marLeft w:val="0"/>
      <w:marRight w:val="0"/>
      <w:marTop w:val="0"/>
      <w:marBottom w:val="0"/>
      <w:divBdr>
        <w:top w:val="none" w:sz="0" w:space="0" w:color="auto"/>
        <w:left w:val="none" w:sz="0" w:space="0" w:color="auto"/>
        <w:bottom w:val="none" w:sz="0" w:space="0" w:color="auto"/>
        <w:right w:val="none" w:sz="0" w:space="0" w:color="auto"/>
      </w:divBdr>
    </w:div>
    <w:div w:id="1320966505">
      <w:bodyDiv w:val="1"/>
      <w:marLeft w:val="0"/>
      <w:marRight w:val="0"/>
      <w:marTop w:val="0"/>
      <w:marBottom w:val="0"/>
      <w:divBdr>
        <w:top w:val="none" w:sz="0" w:space="0" w:color="auto"/>
        <w:left w:val="none" w:sz="0" w:space="0" w:color="auto"/>
        <w:bottom w:val="none" w:sz="0" w:space="0" w:color="auto"/>
        <w:right w:val="none" w:sz="0" w:space="0" w:color="auto"/>
      </w:divBdr>
    </w:div>
    <w:div w:id="1357728453">
      <w:bodyDiv w:val="1"/>
      <w:marLeft w:val="0"/>
      <w:marRight w:val="0"/>
      <w:marTop w:val="0"/>
      <w:marBottom w:val="0"/>
      <w:divBdr>
        <w:top w:val="none" w:sz="0" w:space="0" w:color="auto"/>
        <w:left w:val="none" w:sz="0" w:space="0" w:color="auto"/>
        <w:bottom w:val="none" w:sz="0" w:space="0" w:color="auto"/>
        <w:right w:val="none" w:sz="0" w:space="0" w:color="auto"/>
      </w:divBdr>
    </w:div>
    <w:div w:id="1387533966">
      <w:bodyDiv w:val="1"/>
      <w:marLeft w:val="0"/>
      <w:marRight w:val="0"/>
      <w:marTop w:val="0"/>
      <w:marBottom w:val="0"/>
      <w:divBdr>
        <w:top w:val="none" w:sz="0" w:space="0" w:color="auto"/>
        <w:left w:val="none" w:sz="0" w:space="0" w:color="auto"/>
        <w:bottom w:val="none" w:sz="0" w:space="0" w:color="auto"/>
        <w:right w:val="none" w:sz="0" w:space="0" w:color="auto"/>
      </w:divBdr>
    </w:div>
    <w:div w:id="1392263982">
      <w:bodyDiv w:val="1"/>
      <w:marLeft w:val="0"/>
      <w:marRight w:val="0"/>
      <w:marTop w:val="0"/>
      <w:marBottom w:val="0"/>
      <w:divBdr>
        <w:top w:val="none" w:sz="0" w:space="0" w:color="auto"/>
        <w:left w:val="none" w:sz="0" w:space="0" w:color="auto"/>
        <w:bottom w:val="none" w:sz="0" w:space="0" w:color="auto"/>
        <w:right w:val="none" w:sz="0" w:space="0" w:color="auto"/>
      </w:divBdr>
    </w:div>
    <w:div w:id="1395350716">
      <w:bodyDiv w:val="1"/>
      <w:marLeft w:val="0"/>
      <w:marRight w:val="0"/>
      <w:marTop w:val="0"/>
      <w:marBottom w:val="0"/>
      <w:divBdr>
        <w:top w:val="none" w:sz="0" w:space="0" w:color="auto"/>
        <w:left w:val="none" w:sz="0" w:space="0" w:color="auto"/>
        <w:bottom w:val="none" w:sz="0" w:space="0" w:color="auto"/>
        <w:right w:val="none" w:sz="0" w:space="0" w:color="auto"/>
      </w:divBdr>
    </w:div>
    <w:div w:id="1402364196">
      <w:bodyDiv w:val="1"/>
      <w:marLeft w:val="0"/>
      <w:marRight w:val="0"/>
      <w:marTop w:val="0"/>
      <w:marBottom w:val="0"/>
      <w:divBdr>
        <w:top w:val="none" w:sz="0" w:space="0" w:color="auto"/>
        <w:left w:val="none" w:sz="0" w:space="0" w:color="auto"/>
        <w:bottom w:val="none" w:sz="0" w:space="0" w:color="auto"/>
        <w:right w:val="none" w:sz="0" w:space="0" w:color="auto"/>
      </w:divBdr>
    </w:div>
    <w:div w:id="1418987238">
      <w:bodyDiv w:val="1"/>
      <w:marLeft w:val="0"/>
      <w:marRight w:val="0"/>
      <w:marTop w:val="0"/>
      <w:marBottom w:val="0"/>
      <w:divBdr>
        <w:top w:val="none" w:sz="0" w:space="0" w:color="auto"/>
        <w:left w:val="none" w:sz="0" w:space="0" w:color="auto"/>
        <w:bottom w:val="none" w:sz="0" w:space="0" w:color="auto"/>
        <w:right w:val="none" w:sz="0" w:space="0" w:color="auto"/>
      </w:divBdr>
    </w:div>
    <w:div w:id="1444377783">
      <w:bodyDiv w:val="1"/>
      <w:marLeft w:val="0"/>
      <w:marRight w:val="0"/>
      <w:marTop w:val="0"/>
      <w:marBottom w:val="0"/>
      <w:divBdr>
        <w:top w:val="none" w:sz="0" w:space="0" w:color="auto"/>
        <w:left w:val="none" w:sz="0" w:space="0" w:color="auto"/>
        <w:bottom w:val="none" w:sz="0" w:space="0" w:color="auto"/>
        <w:right w:val="none" w:sz="0" w:space="0" w:color="auto"/>
      </w:divBdr>
    </w:div>
    <w:div w:id="1536624843">
      <w:bodyDiv w:val="1"/>
      <w:marLeft w:val="0"/>
      <w:marRight w:val="0"/>
      <w:marTop w:val="0"/>
      <w:marBottom w:val="0"/>
      <w:divBdr>
        <w:top w:val="none" w:sz="0" w:space="0" w:color="auto"/>
        <w:left w:val="none" w:sz="0" w:space="0" w:color="auto"/>
        <w:bottom w:val="none" w:sz="0" w:space="0" w:color="auto"/>
        <w:right w:val="none" w:sz="0" w:space="0" w:color="auto"/>
      </w:divBdr>
    </w:div>
    <w:div w:id="1562204985">
      <w:bodyDiv w:val="1"/>
      <w:marLeft w:val="0"/>
      <w:marRight w:val="0"/>
      <w:marTop w:val="0"/>
      <w:marBottom w:val="0"/>
      <w:divBdr>
        <w:top w:val="none" w:sz="0" w:space="0" w:color="auto"/>
        <w:left w:val="none" w:sz="0" w:space="0" w:color="auto"/>
        <w:bottom w:val="none" w:sz="0" w:space="0" w:color="auto"/>
        <w:right w:val="none" w:sz="0" w:space="0" w:color="auto"/>
      </w:divBdr>
    </w:div>
    <w:div w:id="1563369458">
      <w:bodyDiv w:val="1"/>
      <w:marLeft w:val="0"/>
      <w:marRight w:val="0"/>
      <w:marTop w:val="0"/>
      <w:marBottom w:val="0"/>
      <w:divBdr>
        <w:top w:val="none" w:sz="0" w:space="0" w:color="auto"/>
        <w:left w:val="none" w:sz="0" w:space="0" w:color="auto"/>
        <w:bottom w:val="none" w:sz="0" w:space="0" w:color="auto"/>
        <w:right w:val="none" w:sz="0" w:space="0" w:color="auto"/>
      </w:divBdr>
    </w:div>
    <w:div w:id="1575313791">
      <w:bodyDiv w:val="1"/>
      <w:marLeft w:val="0"/>
      <w:marRight w:val="0"/>
      <w:marTop w:val="0"/>
      <w:marBottom w:val="0"/>
      <w:divBdr>
        <w:top w:val="none" w:sz="0" w:space="0" w:color="auto"/>
        <w:left w:val="none" w:sz="0" w:space="0" w:color="auto"/>
        <w:bottom w:val="none" w:sz="0" w:space="0" w:color="auto"/>
        <w:right w:val="none" w:sz="0" w:space="0" w:color="auto"/>
      </w:divBdr>
    </w:div>
    <w:div w:id="1637369584">
      <w:bodyDiv w:val="1"/>
      <w:marLeft w:val="0"/>
      <w:marRight w:val="0"/>
      <w:marTop w:val="0"/>
      <w:marBottom w:val="0"/>
      <w:divBdr>
        <w:top w:val="none" w:sz="0" w:space="0" w:color="auto"/>
        <w:left w:val="none" w:sz="0" w:space="0" w:color="auto"/>
        <w:bottom w:val="none" w:sz="0" w:space="0" w:color="auto"/>
        <w:right w:val="none" w:sz="0" w:space="0" w:color="auto"/>
      </w:divBdr>
    </w:div>
    <w:div w:id="1638341693">
      <w:bodyDiv w:val="1"/>
      <w:marLeft w:val="0"/>
      <w:marRight w:val="0"/>
      <w:marTop w:val="0"/>
      <w:marBottom w:val="0"/>
      <w:divBdr>
        <w:top w:val="none" w:sz="0" w:space="0" w:color="auto"/>
        <w:left w:val="none" w:sz="0" w:space="0" w:color="auto"/>
        <w:bottom w:val="none" w:sz="0" w:space="0" w:color="auto"/>
        <w:right w:val="none" w:sz="0" w:space="0" w:color="auto"/>
      </w:divBdr>
    </w:div>
    <w:div w:id="1640308722">
      <w:bodyDiv w:val="1"/>
      <w:marLeft w:val="0"/>
      <w:marRight w:val="0"/>
      <w:marTop w:val="0"/>
      <w:marBottom w:val="0"/>
      <w:divBdr>
        <w:top w:val="none" w:sz="0" w:space="0" w:color="auto"/>
        <w:left w:val="none" w:sz="0" w:space="0" w:color="auto"/>
        <w:bottom w:val="none" w:sz="0" w:space="0" w:color="auto"/>
        <w:right w:val="none" w:sz="0" w:space="0" w:color="auto"/>
      </w:divBdr>
    </w:div>
    <w:div w:id="1680041038">
      <w:bodyDiv w:val="1"/>
      <w:marLeft w:val="0"/>
      <w:marRight w:val="0"/>
      <w:marTop w:val="0"/>
      <w:marBottom w:val="0"/>
      <w:divBdr>
        <w:top w:val="none" w:sz="0" w:space="0" w:color="auto"/>
        <w:left w:val="none" w:sz="0" w:space="0" w:color="auto"/>
        <w:bottom w:val="none" w:sz="0" w:space="0" w:color="auto"/>
        <w:right w:val="none" w:sz="0" w:space="0" w:color="auto"/>
      </w:divBdr>
    </w:div>
    <w:div w:id="1684892395">
      <w:bodyDiv w:val="1"/>
      <w:marLeft w:val="0"/>
      <w:marRight w:val="0"/>
      <w:marTop w:val="0"/>
      <w:marBottom w:val="0"/>
      <w:divBdr>
        <w:top w:val="none" w:sz="0" w:space="0" w:color="auto"/>
        <w:left w:val="none" w:sz="0" w:space="0" w:color="auto"/>
        <w:bottom w:val="none" w:sz="0" w:space="0" w:color="auto"/>
        <w:right w:val="none" w:sz="0" w:space="0" w:color="auto"/>
      </w:divBdr>
    </w:div>
    <w:div w:id="1686664033">
      <w:bodyDiv w:val="1"/>
      <w:marLeft w:val="0"/>
      <w:marRight w:val="0"/>
      <w:marTop w:val="0"/>
      <w:marBottom w:val="0"/>
      <w:divBdr>
        <w:top w:val="none" w:sz="0" w:space="0" w:color="auto"/>
        <w:left w:val="none" w:sz="0" w:space="0" w:color="auto"/>
        <w:bottom w:val="none" w:sz="0" w:space="0" w:color="auto"/>
        <w:right w:val="none" w:sz="0" w:space="0" w:color="auto"/>
      </w:divBdr>
    </w:div>
    <w:div w:id="1740060656">
      <w:bodyDiv w:val="1"/>
      <w:marLeft w:val="0"/>
      <w:marRight w:val="0"/>
      <w:marTop w:val="0"/>
      <w:marBottom w:val="0"/>
      <w:divBdr>
        <w:top w:val="none" w:sz="0" w:space="0" w:color="auto"/>
        <w:left w:val="none" w:sz="0" w:space="0" w:color="auto"/>
        <w:bottom w:val="none" w:sz="0" w:space="0" w:color="auto"/>
        <w:right w:val="none" w:sz="0" w:space="0" w:color="auto"/>
      </w:divBdr>
    </w:div>
    <w:div w:id="1762531854">
      <w:bodyDiv w:val="1"/>
      <w:marLeft w:val="0"/>
      <w:marRight w:val="0"/>
      <w:marTop w:val="0"/>
      <w:marBottom w:val="0"/>
      <w:divBdr>
        <w:top w:val="none" w:sz="0" w:space="0" w:color="auto"/>
        <w:left w:val="none" w:sz="0" w:space="0" w:color="auto"/>
        <w:bottom w:val="none" w:sz="0" w:space="0" w:color="auto"/>
        <w:right w:val="none" w:sz="0" w:space="0" w:color="auto"/>
      </w:divBdr>
    </w:div>
    <w:div w:id="1810903290">
      <w:bodyDiv w:val="1"/>
      <w:marLeft w:val="0"/>
      <w:marRight w:val="0"/>
      <w:marTop w:val="0"/>
      <w:marBottom w:val="0"/>
      <w:divBdr>
        <w:top w:val="none" w:sz="0" w:space="0" w:color="auto"/>
        <w:left w:val="none" w:sz="0" w:space="0" w:color="auto"/>
        <w:bottom w:val="none" w:sz="0" w:space="0" w:color="auto"/>
        <w:right w:val="none" w:sz="0" w:space="0" w:color="auto"/>
      </w:divBdr>
    </w:div>
    <w:div w:id="1820730977">
      <w:bodyDiv w:val="1"/>
      <w:marLeft w:val="0"/>
      <w:marRight w:val="0"/>
      <w:marTop w:val="0"/>
      <w:marBottom w:val="0"/>
      <w:divBdr>
        <w:top w:val="none" w:sz="0" w:space="0" w:color="auto"/>
        <w:left w:val="none" w:sz="0" w:space="0" w:color="auto"/>
        <w:bottom w:val="none" w:sz="0" w:space="0" w:color="auto"/>
        <w:right w:val="none" w:sz="0" w:space="0" w:color="auto"/>
      </w:divBdr>
    </w:div>
    <w:div w:id="1877499940">
      <w:bodyDiv w:val="1"/>
      <w:marLeft w:val="0"/>
      <w:marRight w:val="0"/>
      <w:marTop w:val="0"/>
      <w:marBottom w:val="0"/>
      <w:divBdr>
        <w:top w:val="none" w:sz="0" w:space="0" w:color="auto"/>
        <w:left w:val="none" w:sz="0" w:space="0" w:color="auto"/>
        <w:bottom w:val="none" w:sz="0" w:space="0" w:color="auto"/>
        <w:right w:val="none" w:sz="0" w:space="0" w:color="auto"/>
      </w:divBdr>
    </w:div>
    <w:div w:id="1886602858">
      <w:bodyDiv w:val="1"/>
      <w:marLeft w:val="0"/>
      <w:marRight w:val="0"/>
      <w:marTop w:val="0"/>
      <w:marBottom w:val="0"/>
      <w:divBdr>
        <w:top w:val="none" w:sz="0" w:space="0" w:color="auto"/>
        <w:left w:val="none" w:sz="0" w:space="0" w:color="auto"/>
        <w:bottom w:val="none" w:sz="0" w:space="0" w:color="auto"/>
        <w:right w:val="none" w:sz="0" w:space="0" w:color="auto"/>
      </w:divBdr>
      <w:divsChild>
        <w:div w:id="285696058">
          <w:marLeft w:val="0"/>
          <w:marRight w:val="0"/>
          <w:marTop w:val="0"/>
          <w:marBottom w:val="0"/>
          <w:divBdr>
            <w:top w:val="none" w:sz="0" w:space="0" w:color="auto"/>
            <w:left w:val="none" w:sz="0" w:space="0" w:color="auto"/>
            <w:bottom w:val="none" w:sz="0" w:space="0" w:color="auto"/>
            <w:right w:val="none" w:sz="0" w:space="0" w:color="auto"/>
          </w:divBdr>
          <w:divsChild>
            <w:div w:id="102577496">
              <w:marLeft w:val="0"/>
              <w:marRight w:val="0"/>
              <w:marTop w:val="0"/>
              <w:marBottom w:val="0"/>
              <w:divBdr>
                <w:top w:val="none" w:sz="0" w:space="0" w:color="auto"/>
                <w:left w:val="none" w:sz="0" w:space="0" w:color="auto"/>
                <w:bottom w:val="none" w:sz="0" w:space="0" w:color="auto"/>
                <w:right w:val="none" w:sz="0" w:space="0" w:color="auto"/>
              </w:divBdr>
              <w:divsChild>
                <w:div w:id="567614466">
                  <w:marLeft w:val="0"/>
                  <w:marRight w:val="0"/>
                  <w:marTop w:val="0"/>
                  <w:marBottom w:val="0"/>
                  <w:divBdr>
                    <w:top w:val="none" w:sz="0" w:space="0" w:color="auto"/>
                    <w:left w:val="none" w:sz="0" w:space="0" w:color="auto"/>
                    <w:bottom w:val="none" w:sz="0" w:space="0" w:color="auto"/>
                    <w:right w:val="none" w:sz="0" w:space="0" w:color="auto"/>
                  </w:divBdr>
                  <w:divsChild>
                    <w:div w:id="1080522154">
                      <w:marLeft w:val="0"/>
                      <w:marRight w:val="0"/>
                      <w:marTop w:val="0"/>
                      <w:marBottom w:val="0"/>
                      <w:divBdr>
                        <w:top w:val="none" w:sz="0" w:space="0" w:color="auto"/>
                        <w:left w:val="none" w:sz="0" w:space="0" w:color="auto"/>
                        <w:bottom w:val="none" w:sz="0" w:space="0" w:color="auto"/>
                        <w:right w:val="none" w:sz="0" w:space="0" w:color="auto"/>
                      </w:divBdr>
                      <w:divsChild>
                        <w:div w:id="393624932">
                          <w:marLeft w:val="0"/>
                          <w:marRight w:val="0"/>
                          <w:marTop w:val="0"/>
                          <w:marBottom w:val="0"/>
                          <w:divBdr>
                            <w:top w:val="none" w:sz="0" w:space="0" w:color="auto"/>
                            <w:left w:val="none" w:sz="0" w:space="0" w:color="auto"/>
                            <w:bottom w:val="none" w:sz="0" w:space="0" w:color="auto"/>
                            <w:right w:val="none" w:sz="0" w:space="0" w:color="auto"/>
                          </w:divBdr>
                          <w:divsChild>
                            <w:div w:id="516425829">
                              <w:marLeft w:val="0"/>
                              <w:marRight w:val="0"/>
                              <w:marTop w:val="0"/>
                              <w:marBottom w:val="0"/>
                              <w:divBdr>
                                <w:top w:val="none" w:sz="0" w:space="0" w:color="auto"/>
                                <w:left w:val="none" w:sz="0" w:space="0" w:color="auto"/>
                                <w:bottom w:val="none" w:sz="0" w:space="0" w:color="auto"/>
                                <w:right w:val="none" w:sz="0" w:space="0" w:color="auto"/>
                              </w:divBdr>
                              <w:divsChild>
                                <w:div w:id="20638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2229">
                          <w:marLeft w:val="0"/>
                          <w:marRight w:val="0"/>
                          <w:marTop w:val="0"/>
                          <w:marBottom w:val="0"/>
                          <w:divBdr>
                            <w:top w:val="none" w:sz="0" w:space="0" w:color="auto"/>
                            <w:left w:val="none" w:sz="0" w:space="0" w:color="auto"/>
                            <w:bottom w:val="none" w:sz="0" w:space="0" w:color="auto"/>
                            <w:right w:val="none" w:sz="0" w:space="0" w:color="auto"/>
                          </w:divBdr>
                          <w:divsChild>
                            <w:div w:id="495918774">
                              <w:marLeft w:val="0"/>
                              <w:marRight w:val="0"/>
                              <w:marTop w:val="0"/>
                              <w:marBottom w:val="0"/>
                              <w:divBdr>
                                <w:top w:val="none" w:sz="0" w:space="0" w:color="auto"/>
                                <w:left w:val="none" w:sz="0" w:space="0" w:color="auto"/>
                                <w:bottom w:val="none" w:sz="0" w:space="0" w:color="auto"/>
                                <w:right w:val="none" w:sz="0" w:space="0" w:color="auto"/>
                              </w:divBdr>
                              <w:divsChild>
                                <w:div w:id="1726443225">
                                  <w:marLeft w:val="0"/>
                                  <w:marRight w:val="0"/>
                                  <w:marTop w:val="0"/>
                                  <w:marBottom w:val="0"/>
                                  <w:divBdr>
                                    <w:top w:val="none" w:sz="0" w:space="0" w:color="auto"/>
                                    <w:left w:val="none" w:sz="0" w:space="0" w:color="auto"/>
                                    <w:bottom w:val="none" w:sz="0" w:space="0" w:color="auto"/>
                                    <w:right w:val="none" w:sz="0" w:space="0" w:color="auto"/>
                                  </w:divBdr>
                                  <w:divsChild>
                                    <w:div w:id="2257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176189">
          <w:marLeft w:val="0"/>
          <w:marRight w:val="0"/>
          <w:marTop w:val="0"/>
          <w:marBottom w:val="0"/>
          <w:divBdr>
            <w:top w:val="none" w:sz="0" w:space="0" w:color="auto"/>
            <w:left w:val="none" w:sz="0" w:space="0" w:color="auto"/>
            <w:bottom w:val="none" w:sz="0" w:space="0" w:color="auto"/>
            <w:right w:val="none" w:sz="0" w:space="0" w:color="auto"/>
          </w:divBdr>
          <w:divsChild>
            <w:div w:id="2035496669">
              <w:marLeft w:val="0"/>
              <w:marRight w:val="0"/>
              <w:marTop w:val="0"/>
              <w:marBottom w:val="0"/>
              <w:divBdr>
                <w:top w:val="none" w:sz="0" w:space="0" w:color="auto"/>
                <w:left w:val="none" w:sz="0" w:space="0" w:color="auto"/>
                <w:bottom w:val="none" w:sz="0" w:space="0" w:color="auto"/>
                <w:right w:val="none" w:sz="0" w:space="0" w:color="auto"/>
              </w:divBdr>
              <w:divsChild>
                <w:div w:id="1093358307">
                  <w:marLeft w:val="0"/>
                  <w:marRight w:val="0"/>
                  <w:marTop w:val="0"/>
                  <w:marBottom w:val="0"/>
                  <w:divBdr>
                    <w:top w:val="none" w:sz="0" w:space="0" w:color="auto"/>
                    <w:left w:val="none" w:sz="0" w:space="0" w:color="auto"/>
                    <w:bottom w:val="none" w:sz="0" w:space="0" w:color="auto"/>
                    <w:right w:val="none" w:sz="0" w:space="0" w:color="auto"/>
                  </w:divBdr>
                  <w:divsChild>
                    <w:div w:id="733117881">
                      <w:marLeft w:val="0"/>
                      <w:marRight w:val="0"/>
                      <w:marTop w:val="0"/>
                      <w:marBottom w:val="0"/>
                      <w:divBdr>
                        <w:top w:val="none" w:sz="0" w:space="0" w:color="auto"/>
                        <w:left w:val="none" w:sz="0" w:space="0" w:color="auto"/>
                        <w:bottom w:val="none" w:sz="0" w:space="0" w:color="auto"/>
                        <w:right w:val="none" w:sz="0" w:space="0" w:color="auto"/>
                      </w:divBdr>
                      <w:divsChild>
                        <w:div w:id="1583565587">
                          <w:marLeft w:val="0"/>
                          <w:marRight w:val="0"/>
                          <w:marTop w:val="0"/>
                          <w:marBottom w:val="0"/>
                          <w:divBdr>
                            <w:top w:val="none" w:sz="0" w:space="0" w:color="auto"/>
                            <w:left w:val="none" w:sz="0" w:space="0" w:color="auto"/>
                            <w:bottom w:val="none" w:sz="0" w:space="0" w:color="auto"/>
                            <w:right w:val="none" w:sz="0" w:space="0" w:color="auto"/>
                          </w:divBdr>
                          <w:divsChild>
                            <w:div w:id="1555921711">
                              <w:marLeft w:val="0"/>
                              <w:marRight w:val="0"/>
                              <w:marTop w:val="0"/>
                              <w:marBottom w:val="0"/>
                              <w:divBdr>
                                <w:top w:val="none" w:sz="0" w:space="0" w:color="auto"/>
                                <w:left w:val="none" w:sz="0" w:space="0" w:color="auto"/>
                                <w:bottom w:val="none" w:sz="0" w:space="0" w:color="auto"/>
                                <w:right w:val="none" w:sz="0" w:space="0" w:color="auto"/>
                              </w:divBdr>
                              <w:divsChild>
                                <w:div w:id="2092434014">
                                  <w:marLeft w:val="0"/>
                                  <w:marRight w:val="0"/>
                                  <w:marTop w:val="0"/>
                                  <w:marBottom w:val="0"/>
                                  <w:divBdr>
                                    <w:top w:val="none" w:sz="0" w:space="0" w:color="auto"/>
                                    <w:left w:val="none" w:sz="0" w:space="0" w:color="auto"/>
                                    <w:bottom w:val="none" w:sz="0" w:space="0" w:color="auto"/>
                                    <w:right w:val="none" w:sz="0" w:space="0" w:color="auto"/>
                                  </w:divBdr>
                                  <w:divsChild>
                                    <w:div w:id="677728952">
                                      <w:marLeft w:val="0"/>
                                      <w:marRight w:val="0"/>
                                      <w:marTop w:val="0"/>
                                      <w:marBottom w:val="0"/>
                                      <w:divBdr>
                                        <w:top w:val="none" w:sz="0" w:space="0" w:color="auto"/>
                                        <w:left w:val="none" w:sz="0" w:space="0" w:color="auto"/>
                                        <w:bottom w:val="none" w:sz="0" w:space="0" w:color="auto"/>
                                        <w:right w:val="none" w:sz="0" w:space="0" w:color="auto"/>
                                      </w:divBdr>
                                      <w:divsChild>
                                        <w:div w:id="7328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835812">
          <w:marLeft w:val="0"/>
          <w:marRight w:val="0"/>
          <w:marTop w:val="0"/>
          <w:marBottom w:val="0"/>
          <w:divBdr>
            <w:top w:val="none" w:sz="0" w:space="0" w:color="auto"/>
            <w:left w:val="none" w:sz="0" w:space="0" w:color="auto"/>
            <w:bottom w:val="none" w:sz="0" w:space="0" w:color="auto"/>
            <w:right w:val="none" w:sz="0" w:space="0" w:color="auto"/>
          </w:divBdr>
          <w:divsChild>
            <w:div w:id="1199515406">
              <w:marLeft w:val="0"/>
              <w:marRight w:val="0"/>
              <w:marTop w:val="0"/>
              <w:marBottom w:val="0"/>
              <w:divBdr>
                <w:top w:val="none" w:sz="0" w:space="0" w:color="auto"/>
                <w:left w:val="none" w:sz="0" w:space="0" w:color="auto"/>
                <w:bottom w:val="none" w:sz="0" w:space="0" w:color="auto"/>
                <w:right w:val="none" w:sz="0" w:space="0" w:color="auto"/>
              </w:divBdr>
              <w:divsChild>
                <w:div w:id="2014452773">
                  <w:marLeft w:val="0"/>
                  <w:marRight w:val="0"/>
                  <w:marTop w:val="0"/>
                  <w:marBottom w:val="0"/>
                  <w:divBdr>
                    <w:top w:val="none" w:sz="0" w:space="0" w:color="auto"/>
                    <w:left w:val="none" w:sz="0" w:space="0" w:color="auto"/>
                    <w:bottom w:val="none" w:sz="0" w:space="0" w:color="auto"/>
                    <w:right w:val="none" w:sz="0" w:space="0" w:color="auto"/>
                  </w:divBdr>
                  <w:divsChild>
                    <w:div w:id="1849757123">
                      <w:marLeft w:val="0"/>
                      <w:marRight w:val="0"/>
                      <w:marTop w:val="0"/>
                      <w:marBottom w:val="0"/>
                      <w:divBdr>
                        <w:top w:val="none" w:sz="0" w:space="0" w:color="auto"/>
                        <w:left w:val="none" w:sz="0" w:space="0" w:color="auto"/>
                        <w:bottom w:val="none" w:sz="0" w:space="0" w:color="auto"/>
                        <w:right w:val="none" w:sz="0" w:space="0" w:color="auto"/>
                      </w:divBdr>
                      <w:divsChild>
                        <w:div w:id="505369805">
                          <w:marLeft w:val="0"/>
                          <w:marRight w:val="0"/>
                          <w:marTop w:val="0"/>
                          <w:marBottom w:val="0"/>
                          <w:divBdr>
                            <w:top w:val="none" w:sz="0" w:space="0" w:color="auto"/>
                            <w:left w:val="none" w:sz="0" w:space="0" w:color="auto"/>
                            <w:bottom w:val="none" w:sz="0" w:space="0" w:color="auto"/>
                            <w:right w:val="none" w:sz="0" w:space="0" w:color="auto"/>
                          </w:divBdr>
                          <w:divsChild>
                            <w:div w:id="1081218167">
                              <w:marLeft w:val="0"/>
                              <w:marRight w:val="0"/>
                              <w:marTop w:val="0"/>
                              <w:marBottom w:val="0"/>
                              <w:divBdr>
                                <w:top w:val="none" w:sz="0" w:space="0" w:color="auto"/>
                                <w:left w:val="none" w:sz="0" w:space="0" w:color="auto"/>
                                <w:bottom w:val="none" w:sz="0" w:space="0" w:color="auto"/>
                                <w:right w:val="none" w:sz="0" w:space="0" w:color="auto"/>
                              </w:divBdr>
                              <w:divsChild>
                                <w:div w:id="422071733">
                                  <w:marLeft w:val="0"/>
                                  <w:marRight w:val="0"/>
                                  <w:marTop w:val="0"/>
                                  <w:marBottom w:val="0"/>
                                  <w:divBdr>
                                    <w:top w:val="none" w:sz="0" w:space="0" w:color="auto"/>
                                    <w:left w:val="none" w:sz="0" w:space="0" w:color="auto"/>
                                    <w:bottom w:val="none" w:sz="0" w:space="0" w:color="auto"/>
                                    <w:right w:val="none" w:sz="0" w:space="0" w:color="auto"/>
                                  </w:divBdr>
                                  <w:divsChild>
                                    <w:div w:id="19043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873839">
      <w:bodyDiv w:val="1"/>
      <w:marLeft w:val="0"/>
      <w:marRight w:val="0"/>
      <w:marTop w:val="0"/>
      <w:marBottom w:val="0"/>
      <w:divBdr>
        <w:top w:val="none" w:sz="0" w:space="0" w:color="auto"/>
        <w:left w:val="none" w:sz="0" w:space="0" w:color="auto"/>
        <w:bottom w:val="none" w:sz="0" w:space="0" w:color="auto"/>
        <w:right w:val="none" w:sz="0" w:space="0" w:color="auto"/>
      </w:divBdr>
    </w:div>
    <w:div w:id="1912738064">
      <w:bodyDiv w:val="1"/>
      <w:marLeft w:val="0"/>
      <w:marRight w:val="0"/>
      <w:marTop w:val="0"/>
      <w:marBottom w:val="0"/>
      <w:divBdr>
        <w:top w:val="none" w:sz="0" w:space="0" w:color="auto"/>
        <w:left w:val="none" w:sz="0" w:space="0" w:color="auto"/>
        <w:bottom w:val="none" w:sz="0" w:space="0" w:color="auto"/>
        <w:right w:val="none" w:sz="0" w:space="0" w:color="auto"/>
      </w:divBdr>
    </w:div>
    <w:div w:id="1946838098">
      <w:bodyDiv w:val="1"/>
      <w:marLeft w:val="0"/>
      <w:marRight w:val="0"/>
      <w:marTop w:val="0"/>
      <w:marBottom w:val="0"/>
      <w:divBdr>
        <w:top w:val="none" w:sz="0" w:space="0" w:color="auto"/>
        <w:left w:val="none" w:sz="0" w:space="0" w:color="auto"/>
        <w:bottom w:val="none" w:sz="0" w:space="0" w:color="auto"/>
        <w:right w:val="none" w:sz="0" w:space="0" w:color="auto"/>
      </w:divBdr>
    </w:div>
    <w:div w:id="1975672295">
      <w:bodyDiv w:val="1"/>
      <w:marLeft w:val="0"/>
      <w:marRight w:val="0"/>
      <w:marTop w:val="0"/>
      <w:marBottom w:val="0"/>
      <w:divBdr>
        <w:top w:val="none" w:sz="0" w:space="0" w:color="auto"/>
        <w:left w:val="none" w:sz="0" w:space="0" w:color="auto"/>
        <w:bottom w:val="none" w:sz="0" w:space="0" w:color="auto"/>
        <w:right w:val="none" w:sz="0" w:space="0" w:color="auto"/>
      </w:divBdr>
    </w:div>
    <w:div w:id="2011710841">
      <w:bodyDiv w:val="1"/>
      <w:marLeft w:val="0"/>
      <w:marRight w:val="0"/>
      <w:marTop w:val="0"/>
      <w:marBottom w:val="0"/>
      <w:divBdr>
        <w:top w:val="none" w:sz="0" w:space="0" w:color="auto"/>
        <w:left w:val="none" w:sz="0" w:space="0" w:color="auto"/>
        <w:bottom w:val="none" w:sz="0" w:space="0" w:color="auto"/>
        <w:right w:val="none" w:sz="0" w:space="0" w:color="auto"/>
      </w:divBdr>
    </w:div>
    <w:div w:id="2030794441">
      <w:bodyDiv w:val="1"/>
      <w:marLeft w:val="0"/>
      <w:marRight w:val="0"/>
      <w:marTop w:val="0"/>
      <w:marBottom w:val="0"/>
      <w:divBdr>
        <w:top w:val="none" w:sz="0" w:space="0" w:color="auto"/>
        <w:left w:val="none" w:sz="0" w:space="0" w:color="auto"/>
        <w:bottom w:val="none" w:sz="0" w:space="0" w:color="auto"/>
        <w:right w:val="none" w:sz="0" w:space="0" w:color="auto"/>
      </w:divBdr>
    </w:div>
    <w:div w:id="2076737178">
      <w:bodyDiv w:val="1"/>
      <w:marLeft w:val="0"/>
      <w:marRight w:val="0"/>
      <w:marTop w:val="0"/>
      <w:marBottom w:val="0"/>
      <w:divBdr>
        <w:top w:val="none" w:sz="0" w:space="0" w:color="auto"/>
        <w:left w:val="none" w:sz="0" w:space="0" w:color="auto"/>
        <w:bottom w:val="none" w:sz="0" w:space="0" w:color="auto"/>
        <w:right w:val="none" w:sz="0" w:space="0" w:color="auto"/>
      </w:divBdr>
    </w:div>
    <w:div w:id="208066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s://apo.org.au/sites/default/files/resource-files/2022-06/apo-nid319016_1.pdf" TargetMode="External"/><Relationship Id="rId1" Type="http://schemas.openxmlformats.org/officeDocument/2006/relationships/hyperlink" Target="https://australiandisabilitynetwork.org.au/resources/disability-statist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Batchelor\Physical%20Disability%20Council%20New%20South%20Wales\P%20Drive%20-%20Documents\Systemic%20Advocacy\Submissions\Submission%20Writing%20Resource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75FEF5C6B6444CAC5E246C9BE46E8C"/>
        <w:category>
          <w:name w:val="General"/>
          <w:gallery w:val="placeholder"/>
        </w:category>
        <w:types>
          <w:type w:val="bbPlcHdr"/>
        </w:types>
        <w:behaviors>
          <w:behavior w:val="content"/>
        </w:behaviors>
        <w:guid w:val="{EB31B443-08A9-4D5F-8BC8-191B58393799}"/>
      </w:docPartPr>
      <w:docPartBody>
        <w:p w:rsidR="009D01CD" w:rsidRDefault="002621E7" w:rsidP="002621E7">
          <w:pPr>
            <w:pStyle w:val="9D75FEF5C6B6444CAC5E246C9BE46E8C"/>
          </w:pPr>
          <w:r>
            <w:rPr>
              <w:rFonts w:ascii="Myriad Pro" w:eastAsiaTheme="majorEastAsia" w:hAnsi="Myriad Pro" w:cstheme="majorBidi"/>
              <w:bCs/>
              <w:color w:val="232157"/>
              <w:spacing w:val="-10"/>
              <w:kern w:val="28"/>
              <w:sz w:val="32"/>
              <w:szCs w:val="56"/>
            </w:rPr>
            <w:t>Click to add date</w:t>
          </w:r>
        </w:p>
      </w:docPartBody>
    </w:docPart>
    <w:docPart>
      <w:docPartPr>
        <w:name w:val="C8070366753C40E9B4FA2260F94C1019"/>
        <w:category>
          <w:name w:val="General"/>
          <w:gallery w:val="placeholder"/>
        </w:category>
        <w:types>
          <w:type w:val="bbPlcHdr"/>
        </w:types>
        <w:behaviors>
          <w:behavior w:val="content"/>
        </w:behaviors>
        <w:guid w:val="{7BFC8626-BD68-47AC-B5F5-571AD3950FB9}"/>
      </w:docPartPr>
      <w:docPartBody>
        <w:p w:rsidR="009D01CD" w:rsidRDefault="002621E7" w:rsidP="002621E7">
          <w:pPr>
            <w:pStyle w:val="C8070366753C40E9B4FA2260F94C1019"/>
          </w:pPr>
          <w:r w:rsidRPr="00266153">
            <w:t>Click to add submission title</w:t>
          </w:r>
        </w:p>
      </w:docPartBody>
    </w:docPart>
    <w:docPart>
      <w:docPartPr>
        <w:name w:val="6691DE8920464341AEF47ADAE73C9F04"/>
        <w:category>
          <w:name w:val="General"/>
          <w:gallery w:val="placeholder"/>
        </w:category>
        <w:types>
          <w:type w:val="bbPlcHdr"/>
        </w:types>
        <w:behaviors>
          <w:behavior w:val="content"/>
        </w:behaviors>
        <w:guid w:val="{A04E2D0F-FCAD-4E6D-A73A-57B920EA1C8E}"/>
      </w:docPartPr>
      <w:docPartBody>
        <w:p w:rsidR="00E6247C" w:rsidRDefault="00E6247C" w:rsidP="00E6247C">
          <w:pPr>
            <w:pStyle w:val="6691DE8920464341AEF47ADAE73C9F04"/>
          </w:pPr>
          <w:r w:rsidRPr="00E630BB">
            <w:t>Click to add Recommendation Title</w:t>
          </w:r>
        </w:p>
      </w:docPartBody>
    </w:docPart>
    <w:docPart>
      <w:docPartPr>
        <w:name w:val="6AC4E6FAA81D4F8399949BE791BE42A3"/>
        <w:category>
          <w:name w:val="General"/>
          <w:gallery w:val="placeholder"/>
        </w:category>
        <w:types>
          <w:type w:val="bbPlcHdr"/>
        </w:types>
        <w:behaviors>
          <w:behavior w:val="content"/>
        </w:behaviors>
        <w:guid w:val="{F41FC887-B340-4136-B4BF-D993ACCE8581}"/>
      </w:docPartPr>
      <w:docPartBody>
        <w:p w:rsidR="00E6247C" w:rsidRDefault="00E6247C" w:rsidP="00E6247C">
          <w:pPr>
            <w:pStyle w:val="6AC4E6FAA81D4F8399949BE791BE42A3"/>
          </w:pPr>
          <w:r w:rsidRPr="00E630BB">
            <w:t>Click to add Recommendation</w:t>
          </w:r>
        </w:p>
      </w:docPartBody>
    </w:docPart>
    <w:docPart>
      <w:docPartPr>
        <w:name w:val="22B54D257B334E2180D768855ABDE2F9"/>
        <w:category>
          <w:name w:val="General"/>
          <w:gallery w:val="placeholder"/>
        </w:category>
        <w:types>
          <w:type w:val="bbPlcHdr"/>
        </w:types>
        <w:behaviors>
          <w:behavior w:val="content"/>
        </w:behaviors>
        <w:guid w:val="{2E84B503-D385-44B0-A2D3-2EE411B17424}"/>
      </w:docPartPr>
      <w:docPartBody>
        <w:p w:rsidR="00E6247C" w:rsidRDefault="00E6247C" w:rsidP="00E6247C">
          <w:pPr>
            <w:pStyle w:val="22B54D257B334E2180D768855ABDE2F9"/>
          </w:pPr>
          <w:r w:rsidRPr="00E630BB">
            <w:t>Click to add Recommendation Title</w:t>
          </w:r>
        </w:p>
      </w:docPartBody>
    </w:docPart>
    <w:docPart>
      <w:docPartPr>
        <w:name w:val="AF0D0547A6F04068906AB7FEC4DCA410"/>
        <w:category>
          <w:name w:val="General"/>
          <w:gallery w:val="placeholder"/>
        </w:category>
        <w:types>
          <w:type w:val="bbPlcHdr"/>
        </w:types>
        <w:behaviors>
          <w:behavior w:val="content"/>
        </w:behaviors>
        <w:guid w:val="{31CEFF50-E8AA-42B7-B99C-0F1515397D73}"/>
      </w:docPartPr>
      <w:docPartBody>
        <w:p w:rsidR="00E6247C" w:rsidRDefault="00E6247C" w:rsidP="00E6247C">
          <w:pPr>
            <w:pStyle w:val="AF0D0547A6F04068906AB7FEC4DCA410"/>
          </w:pPr>
          <w:r w:rsidRPr="00E630BB">
            <w:t>Click to add Recommendation</w:t>
          </w:r>
        </w:p>
      </w:docPartBody>
    </w:docPart>
    <w:docPart>
      <w:docPartPr>
        <w:name w:val="B999B2C2237F4B238037F16E0706C0B4"/>
        <w:category>
          <w:name w:val="General"/>
          <w:gallery w:val="placeholder"/>
        </w:category>
        <w:types>
          <w:type w:val="bbPlcHdr"/>
        </w:types>
        <w:behaviors>
          <w:behavior w:val="content"/>
        </w:behaviors>
        <w:guid w:val="{68F9A594-9352-4555-B81B-5DAA93F3DDB3}"/>
      </w:docPartPr>
      <w:docPartBody>
        <w:p w:rsidR="00E6247C" w:rsidRDefault="00E6247C" w:rsidP="00E6247C">
          <w:pPr>
            <w:pStyle w:val="B999B2C2237F4B238037F16E0706C0B4"/>
          </w:pPr>
          <w:r w:rsidRPr="00E630BB">
            <w:t>Click to add Recommendation Title</w:t>
          </w:r>
        </w:p>
      </w:docPartBody>
    </w:docPart>
    <w:docPart>
      <w:docPartPr>
        <w:name w:val="FE1BABCBDA484E8BBE4F76FF78404A5B"/>
        <w:category>
          <w:name w:val="General"/>
          <w:gallery w:val="placeholder"/>
        </w:category>
        <w:types>
          <w:type w:val="bbPlcHdr"/>
        </w:types>
        <w:behaviors>
          <w:behavior w:val="content"/>
        </w:behaviors>
        <w:guid w:val="{64C4916E-F41D-47F3-96BB-7171B860566B}"/>
      </w:docPartPr>
      <w:docPartBody>
        <w:p w:rsidR="00E6247C" w:rsidRDefault="00E6247C" w:rsidP="00E6247C">
          <w:pPr>
            <w:pStyle w:val="FE1BABCBDA484E8BBE4F76FF78404A5B"/>
          </w:pPr>
          <w:r w:rsidRPr="00E630BB">
            <w:t>Click to add Recommendation Title</w:t>
          </w:r>
        </w:p>
      </w:docPartBody>
    </w:docPart>
    <w:docPart>
      <w:docPartPr>
        <w:name w:val="31D66D9155A249BAB1E646FEE4A8D5E6"/>
        <w:category>
          <w:name w:val="General"/>
          <w:gallery w:val="placeholder"/>
        </w:category>
        <w:types>
          <w:type w:val="bbPlcHdr"/>
        </w:types>
        <w:behaviors>
          <w:behavior w:val="content"/>
        </w:behaviors>
        <w:guid w:val="{734B2DE6-6339-45AC-8F49-9B9240AD973C}"/>
      </w:docPartPr>
      <w:docPartBody>
        <w:p w:rsidR="00E6247C" w:rsidRDefault="00E6247C" w:rsidP="00E6247C">
          <w:pPr>
            <w:pStyle w:val="31D66D9155A249BAB1E646FEE4A8D5E6"/>
          </w:pPr>
          <w:r w:rsidRPr="00E630BB">
            <w:t>Click to add Recommendation</w:t>
          </w:r>
        </w:p>
      </w:docPartBody>
    </w:docPart>
    <w:docPart>
      <w:docPartPr>
        <w:name w:val="BCD709980E964A0A95A15BAFD2BB31E2"/>
        <w:category>
          <w:name w:val="General"/>
          <w:gallery w:val="placeholder"/>
        </w:category>
        <w:types>
          <w:type w:val="bbPlcHdr"/>
        </w:types>
        <w:behaviors>
          <w:behavior w:val="content"/>
        </w:behaviors>
        <w:guid w:val="{523E01A1-C0D0-4314-822B-C71DC8D60093}"/>
      </w:docPartPr>
      <w:docPartBody>
        <w:p w:rsidR="00E6247C" w:rsidRDefault="00E6247C" w:rsidP="00E6247C">
          <w:pPr>
            <w:pStyle w:val="BCD709980E964A0A95A15BAFD2BB31E2"/>
          </w:pPr>
          <w:r w:rsidRPr="00E630BB">
            <w:t>Click to add Recommendation</w:t>
          </w:r>
        </w:p>
      </w:docPartBody>
    </w:docPart>
    <w:docPart>
      <w:docPartPr>
        <w:name w:val="3B79678F5DD2498EBB06756BC1DACAB9"/>
        <w:category>
          <w:name w:val="General"/>
          <w:gallery w:val="placeholder"/>
        </w:category>
        <w:types>
          <w:type w:val="bbPlcHdr"/>
        </w:types>
        <w:behaviors>
          <w:behavior w:val="content"/>
        </w:behaviors>
        <w:guid w:val="{530598B8-DFD9-49A5-9B98-B1A254D3DF5C}"/>
      </w:docPartPr>
      <w:docPartBody>
        <w:p w:rsidR="00E6247C" w:rsidRDefault="00E6247C" w:rsidP="00E6247C">
          <w:pPr>
            <w:pStyle w:val="3B79678F5DD2498EBB06756BC1DACAB9"/>
          </w:pPr>
          <w:r w:rsidRPr="00E630BB">
            <w:t>Click to add Recommendation Title</w:t>
          </w:r>
        </w:p>
      </w:docPartBody>
    </w:docPart>
    <w:docPart>
      <w:docPartPr>
        <w:name w:val="CA45DC134C0441D2BBC6F17982376716"/>
        <w:category>
          <w:name w:val="General"/>
          <w:gallery w:val="placeholder"/>
        </w:category>
        <w:types>
          <w:type w:val="bbPlcHdr"/>
        </w:types>
        <w:behaviors>
          <w:behavior w:val="content"/>
        </w:behaviors>
        <w:guid w:val="{ED040983-8FAD-41BE-87F0-AD79B3D7DADA}"/>
      </w:docPartPr>
      <w:docPartBody>
        <w:p w:rsidR="00E6247C" w:rsidRDefault="00E6247C" w:rsidP="00E6247C">
          <w:pPr>
            <w:pStyle w:val="CA45DC134C0441D2BBC6F17982376716"/>
          </w:pPr>
          <w:r w:rsidRPr="00E630BB">
            <w:t>Click to add Recommendation</w:t>
          </w:r>
        </w:p>
      </w:docPartBody>
    </w:docPart>
    <w:docPart>
      <w:docPartPr>
        <w:name w:val="1629E1DB876B42C59B9DACA3ED631BD6"/>
        <w:category>
          <w:name w:val="General"/>
          <w:gallery w:val="placeholder"/>
        </w:category>
        <w:types>
          <w:type w:val="bbPlcHdr"/>
        </w:types>
        <w:behaviors>
          <w:behavior w:val="content"/>
        </w:behaviors>
        <w:guid w:val="{3FE2EAE5-E16D-4156-B94D-69B0FC382B28}"/>
      </w:docPartPr>
      <w:docPartBody>
        <w:p w:rsidR="00E6247C" w:rsidRDefault="00E6247C" w:rsidP="00E6247C">
          <w:pPr>
            <w:pStyle w:val="1629E1DB876B42C59B9DACA3ED631BD6"/>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alibri"/>
    <w:panose1 w:val="00000000000000000000"/>
    <w:charset w:val="00"/>
    <w:family w:val="swiss"/>
    <w:notTrueType/>
    <w:pitch w:val="variable"/>
    <w:sig w:usb0="A00002AF" w:usb1="5000204B"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E7"/>
    <w:rsid w:val="00033D92"/>
    <w:rsid w:val="000C6CAA"/>
    <w:rsid w:val="002621E7"/>
    <w:rsid w:val="00487093"/>
    <w:rsid w:val="005D2378"/>
    <w:rsid w:val="006C53B6"/>
    <w:rsid w:val="00784FAF"/>
    <w:rsid w:val="00796A13"/>
    <w:rsid w:val="00796F99"/>
    <w:rsid w:val="008938EE"/>
    <w:rsid w:val="009B2E6C"/>
    <w:rsid w:val="009D01CD"/>
    <w:rsid w:val="00A2168C"/>
    <w:rsid w:val="00AA1DFA"/>
    <w:rsid w:val="00B06B3F"/>
    <w:rsid w:val="00DD5506"/>
    <w:rsid w:val="00E479AF"/>
    <w:rsid w:val="00E6247C"/>
    <w:rsid w:val="00F86C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07FB03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14:ligatures w14:val="none"/>
    </w:rPr>
  </w:style>
  <w:style w:type="paragraph" w:customStyle="1" w:styleId="9D75FEF5C6B6444CAC5E246C9BE46E8C">
    <w:name w:val="9D75FEF5C6B6444CAC5E246C9BE46E8C"/>
    <w:rsid w:val="002621E7"/>
  </w:style>
  <w:style w:type="paragraph" w:customStyle="1" w:styleId="C8070366753C40E9B4FA2260F94C1019">
    <w:name w:val="C8070366753C40E9B4FA2260F94C1019"/>
    <w:rsid w:val="002621E7"/>
  </w:style>
  <w:style w:type="paragraph" w:customStyle="1" w:styleId="6691DE8920464341AEF47ADAE73C9F04">
    <w:name w:val="6691DE8920464341AEF47ADAE73C9F04"/>
    <w:rsid w:val="00E6247C"/>
  </w:style>
  <w:style w:type="paragraph" w:customStyle="1" w:styleId="6AC4E6FAA81D4F8399949BE791BE42A3">
    <w:name w:val="6AC4E6FAA81D4F8399949BE791BE42A3"/>
    <w:rsid w:val="00E6247C"/>
  </w:style>
  <w:style w:type="paragraph" w:customStyle="1" w:styleId="22B54D257B334E2180D768855ABDE2F9">
    <w:name w:val="22B54D257B334E2180D768855ABDE2F9"/>
    <w:rsid w:val="00E6247C"/>
  </w:style>
  <w:style w:type="paragraph" w:customStyle="1" w:styleId="AF0D0547A6F04068906AB7FEC4DCA410">
    <w:name w:val="AF0D0547A6F04068906AB7FEC4DCA410"/>
    <w:rsid w:val="00E6247C"/>
  </w:style>
  <w:style w:type="paragraph" w:customStyle="1" w:styleId="B999B2C2237F4B238037F16E0706C0B4">
    <w:name w:val="B999B2C2237F4B238037F16E0706C0B4"/>
    <w:rsid w:val="00E6247C"/>
  </w:style>
  <w:style w:type="paragraph" w:customStyle="1" w:styleId="FE1BABCBDA484E8BBE4F76FF78404A5B">
    <w:name w:val="FE1BABCBDA484E8BBE4F76FF78404A5B"/>
    <w:rsid w:val="00E6247C"/>
  </w:style>
  <w:style w:type="paragraph" w:customStyle="1" w:styleId="31D66D9155A249BAB1E646FEE4A8D5E6">
    <w:name w:val="31D66D9155A249BAB1E646FEE4A8D5E6"/>
    <w:rsid w:val="00E6247C"/>
  </w:style>
  <w:style w:type="paragraph" w:customStyle="1" w:styleId="BCD709980E964A0A95A15BAFD2BB31E2">
    <w:name w:val="BCD709980E964A0A95A15BAFD2BB31E2"/>
    <w:rsid w:val="00E6247C"/>
  </w:style>
  <w:style w:type="paragraph" w:customStyle="1" w:styleId="3B79678F5DD2498EBB06756BC1DACAB9">
    <w:name w:val="3B79678F5DD2498EBB06756BC1DACAB9"/>
    <w:rsid w:val="00E6247C"/>
  </w:style>
  <w:style w:type="paragraph" w:customStyle="1" w:styleId="CA45DC134C0441D2BBC6F17982376716">
    <w:name w:val="CA45DC134C0441D2BBC6F17982376716"/>
    <w:rsid w:val="00E6247C"/>
  </w:style>
  <w:style w:type="paragraph" w:customStyle="1" w:styleId="1629E1DB876B42C59B9DACA3ED631BD6">
    <w:name w:val="1629E1DB876B42C59B9DACA3ED631BD6"/>
    <w:rsid w:val="00E624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1" ma:contentTypeDescription="Create a new document." ma:contentTypeScope="" ma:versionID="93b05bdca524105d118f705b10d059b4">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aee2f98588300e3c5964aa776d19dbc4"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customXml/itemProps4.xml><?xml version="1.0" encoding="utf-8"?>
<ds:datastoreItem xmlns:ds="http://schemas.openxmlformats.org/officeDocument/2006/customXml" ds:itemID="{2193781B-21D2-43E3-AD06-3CFC55F3C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2</TotalTime>
  <Pages>12</Pages>
  <Words>4390</Words>
  <Characters>25026</Characters>
  <Application>Microsoft Office Word</Application>
  <DocSecurity>0</DocSecurity>
  <Lines>208</Lines>
  <Paragraphs>58</Paragraphs>
  <ScaleCrop>false</ScaleCrop>
  <Company/>
  <LinksUpToDate>false</LinksUpToDate>
  <CharactersWithSpaces>29358</CharactersWithSpaces>
  <SharedDoc>false</SharedDoc>
  <HLinks>
    <vt:vector size="54" baseType="variant">
      <vt:variant>
        <vt:i4>1507385</vt:i4>
      </vt:variant>
      <vt:variant>
        <vt:i4>38</vt:i4>
      </vt:variant>
      <vt:variant>
        <vt:i4>0</vt:i4>
      </vt:variant>
      <vt:variant>
        <vt:i4>5</vt:i4>
      </vt:variant>
      <vt:variant>
        <vt:lpwstr/>
      </vt:variant>
      <vt:variant>
        <vt:lpwstr>_Toc198202099</vt:lpwstr>
      </vt:variant>
      <vt:variant>
        <vt:i4>1507385</vt:i4>
      </vt:variant>
      <vt:variant>
        <vt:i4>32</vt:i4>
      </vt:variant>
      <vt:variant>
        <vt:i4>0</vt:i4>
      </vt:variant>
      <vt:variant>
        <vt:i4>5</vt:i4>
      </vt:variant>
      <vt:variant>
        <vt:lpwstr/>
      </vt:variant>
      <vt:variant>
        <vt:lpwstr>_Toc198202094</vt:lpwstr>
      </vt:variant>
      <vt:variant>
        <vt:i4>1507385</vt:i4>
      </vt:variant>
      <vt:variant>
        <vt:i4>26</vt:i4>
      </vt:variant>
      <vt:variant>
        <vt:i4>0</vt:i4>
      </vt:variant>
      <vt:variant>
        <vt:i4>5</vt:i4>
      </vt:variant>
      <vt:variant>
        <vt:lpwstr/>
      </vt:variant>
      <vt:variant>
        <vt:lpwstr>_Toc198202093</vt:lpwstr>
      </vt:variant>
      <vt:variant>
        <vt:i4>1507385</vt:i4>
      </vt:variant>
      <vt:variant>
        <vt:i4>20</vt:i4>
      </vt:variant>
      <vt:variant>
        <vt:i4>0</vt:i4>
      </vt:variant>
      <vt:variant>
        <vt:i4>5</vt:i4>
      </vt:variant>
      <vt:variant>
        <vt:lpwstr/>
      </vt:variant>
      <vt:variant>
        <vt:lpwstr>_Toc198202092</vt:lpwstr>
      </vt:variant>
      <vt:variant>
        <vt:i4>1441849</vt:i4>
      </vt:variant>
      <vt:variant>
        <vt:i4>14</vt:i4>
      </vt:variant>
      <vt:variant>
        <vt:i4>0</vt:i4>
      </vt:variant>
      <vt:variant>
        <vt:i4>5</vt:i4>
      </vt:variant>
      <vt:variant>
        <vt:lpwstr/>
      </vt:variant>
      <vt:variant>
        <vt:lpwstr>_Toc198202087</vt:lpwstr>
      </vt:variant>
      <vt:variant>
        <vt:i4>1441849</vt:i4>
      </vt:variant>
      <vt:variant>
        <vt:i4>8</vt:i4>
      </vt:variant>
      <vt:variant>
        <vt:i4>0</vt:i4>
      </vt:variant>
      <vt:variant>
        <vt:i4>5</vt:i4>
      </vt:variant>
      <vt:variant>
        <vt:lpwstr/>
      </vt:variant>
      <vt:variant>
        <vt:lpwstr>_Toc198202086</vt:lpwstr>
      </vt:variant>
      <vt:variant>
        <vt:i4>1441849</vt:i4>
      </vt:variant>
      <vt:variant>
        <vt:i4>2</vt:i4>
      </vt:variant>
      <vt:variant>
        <vt:i4>0</vt:i4>
      </vt:variant>
      <vt:variant>
        <vt:i4>5</vt:i4>
      </vt:variant>
      <vt:variant>
        <vt:lpwstr/>
      </vt:variant>
      <vt:variant>
        <vt:lpwstr>_Toc198202085</vt:lpwstr>
      </vt:variant>
      <vt:variant>
        <vt:i4>4391016</vt:i4>
      </vt:variant>
      <vt:variant>
        <vt:i4>3</vt:i4>
      </vt:variant>
      <vt:variant>
        <vt:i4>0</vt:i4>
      </vt:variant>
      <vt:variant>
        <vt:i4>5</vt:i4>
      </vt:variant>
      <vt:variant>
        <vt:lpwstr>https://apo.org.au/sites/default/files/resource-files/2022-06/apo-nid319016_1.pdf</vt:lpwstr>
      </vt:variant>
      <vt:variant>
        <vt:lpwstr>page=13</vt:lpwstr>
      </vt:variant>
      <vt:variant>
        <vt:i4>2949175</vt:i4>
      </vt:variant>
      <vt:variant>
        <vt:i4>0</vt:i4>
      </vt:variant>
      <vt:variant>
        <vt:i4>0</vt:i4>
      </vt:variant>
      <vt:variant>
        <vt:i4>5</vt:i4>
      </vt:variant>
      <vt:variant>
        <vt:lpwstr>https://australiandisabilitynetwork.org.au/resources/disability-statistics/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Kelley Temple</cp:lastModifiedBy>
  <cp:revision>4</cp:revision>
  <cp:lastPrinted>2020-07-10T23:10:00Z</cp:lastPrinted>
  <dcterms:created xsi:type="dcterms:W3CDTF">2025-05-15T05:44:00Z</dcterms:created>
  <dcterms:modified xsi:type="dcterms:W3CDTF">2025-05-15T05:46:00Z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